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glossary/_rels/document.xml.rels" ContentType="application/vnd.openxmlformats-package.relationships+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fontTable.xml" ContentType="application/vnd.openxmlformats-officedocument.wordprocessingml.fontTabl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1" w:hanging="3"/>
        <w:jc w:val="center"/>
        <w:rPr>
          <w:rFonts w:ascii="Century Gothic" w:hAnsi="Century Gothic" w:eastAsia="Century Gothic" w:cs="Century Gothic"/>
          <w:color w:val="000000"/>
          <w:sz w:val="28"/>
          <w:szCs w:val="28"/>
        </w:rPr>
      </w:pPr>
      <w:bookmarkStart w:id="0" w:name="_heading=h.gjdgxs"/>
      <w:bookmarkEnd w:id="0"/>
      <w:r>
        <w:rPr>
          <w:rFonts w:eastAsia="Century Gothic" w:cs="Century Gothic" w:ascii="Century Gothic" w:hAnsi="Century Gothic"/>
          <w:b/>
          <w:color w:val="000000"/>
          <w:position w:val="0"/>
          <w:sz w:val="28"/>
          <w:szCs w:val="28"/>
        </w:rPr>
        <w:t xml:space="preserve">« </w:t>
      </w:r>
      <w:sdt>
        <w:sdtPr>
          <w:id w:val="1229182996"/>
        </w:sdtPr>
        <w:sdtContent>
          <w:r>
            <w:rPr>
              <w:rFonts w:eastAsia="Century Gothic" w:cs="Century Gothic" w:ascii="Century Gothic" w:hAnsi="Century Gothic"/>
              <w:b/>
              <w:color w:val="000000"/>
              <w:sz w:val="28"/>
              <w:szCs w:val="28"/>
            </w:rPr>
            <w:t>Animer des ateliers de philosophie pour enfants et adolescents</w:t>
          </w:r>
        </w:sdtContent>
      </w:sdt>
      <w:r>
        <w:rPr>
          <w:rFonts w:eastAsia="Century Gothic" w:cs="Century Gothic" w:ascii="Century Gothic" w:hAnsi="Century Gothic"/>
          <w:color w:val="000000"/>
          <w:sz w:val="28"/>
          <w:szCs w:val="28"/>
        </w:rPr>
        <w:t xml:space="preserve"> </w:t>
      </w:r>
      <w:r>
        <w:rPr>
          <w:rFonts w:eastAsia="Century Gothic" w:cs="Century Gothic" w:ascii="Century Gothic" w:hAnsi="Century Gothic"/>
          <w:b/>
          <w:color w:val="000000"/>
          <w:sz w:val="28"/>
          <w:szCs w:val="28"/>
        </w:rPr>
        <w:t>»</w:t>
      </w:r>
    </w:p>
    <w:p>
      <w:pPr>
        <w:pStyle w:val="Normal"/>
        <w:ind w:left="1" w:hanging="3"/>
        <w:jc w:val="center"/>
        <w:rPr>
          <w:rFonts w:ascii="Century Gothic" w:hAnsi="Century Gothic" w:eastAsia="Century Gothic" w:cs="Century Gothic"/>
          <w:color w:val="000000"/>
          <w:sz w:val="28"/>
          <w:szCs w:val="28"/>
        </w:rPr>
      </w:pPr>
      <w:r>
        <w:rPr>
          <w:rFonts w:eastAsia="Century Gothic" w:cs="Century Gothic" w:ascii="Century Gothic" w:hAnsi="Century Gothic"/>
          <w:color w:val="000000"/>
          <w:sz w:val="28"/>
          <w:szCs w:val="28"/>
        </w:rPr>
      </w:r>
    </w:p>
    <w:p>
      <w:pPr>
        <w:pStyle w:val="Normal"/>
        <w:keepNext w:val="true"/>
        <w:keepLines/>
        <w:pBdr/>
        <w:spacing w:lineRule="auto" w:line="360" w:before="40" w:after="0"/>
        <w:ind w:left="1" w:hanging="3"/>
        <w:rPr>
          <w:rFonts w:ascii="Century Gothic" w:hAnsi="Century Gothic" w:eastAsia="Century Gothic" w:cs="Century Gothic"/>
          <w:color w:val="000000"/>
          <w:sz w:val="26"/>
          <w:szCs w:val="26"/>
          <w:u w:val="single"/>
        </w:rPr>
      </w:pPr>
      <w:r>
        <w:rPr>
          <w:rFonts w:eastAsia="Century Gothic" w:cs="Century Gothic" w:ascii="Century Gothic" w:hAnsi="Century Gothic"/>
          <w:color w:val="000000"/>
          <w:sz w:val="26"/>
          <w:szCs w:val="26"/>
          <w:u w:val="single"/>
        </w:rPr>
        <w:t>Public :</w:t>
      </w:r>
    </w:p>
    <w:p>
      <w:pPr>
        <w:pStyle w:val="Normal"/>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Professionnels et futurs professionnels intervenant auprès d’enfants et d’adolescents souhaitant développer des compétences en animation d’ateliers philosophiques.</w:t>
      </w:r>
    </w:p>
    <w:p>
      <w:pPr>
        <w:pStyle w:val="Normal"/>
        <w:ind w:left="0" w:hanging="2"/>
        <w:rPr>
          <w:rFonts w:ascii="Century Gothic" w:hAnsi="Century Gothic" w:eastAsia="Century Gothic" w:cs="Century Gothic"/>
        </w:rPr>
      </w:pPr>
      <w:r>
        <w:rPr>
          <w:rFonts w:eastAsia="Century Gothic" w:cs="Century Gothic" w:ascii="Century Gothic" w:hAnsi="Century Gothic"/>
        </w:rPr>
      </w:r>
    </w:p>
    <w:p>
      <w:pPr>
        <w:pStyle w:val="Normal"/>
        <w:ind w:left="0" w:hanging="2"/>
        <w:rPr>
          <w:rFonts w:ascii="Century Gothic" w:hAnsi="Century Gothic" w:eastAsia="Century Gothic" w:cs="Century Gothic"/>
        </w:rPr>
      </w:pPr>
      <w:r>
        <w:rPr>
          <w:rFonts w:eastAsia="Century Gothic" w:cs="Century Gothic" w:ascii="Century Gothic" w:hAnsi="Century Gothic"/>
        </w:rPr>
      </w:r>
    </w:p>
    <w:p>
      <w:pPr>
        <w:pStyle w:val="Normal"/>
        <w:ind w:left="1" w:hanging="3"/>
        <w:rPr>
          <w:rFonts w:ascii="Century Gothic" w:hAnsi="Century Gothic" w:eastAsia="Century Gothic" w:cs="Century Gothic"/>
          <w:sz w:val="26"/>
          <w:szCs w:val="26"/>
          <w:u w:val="single"/>
        </w:rPr>
      </w:pPr>
      <w:r>
        <w:rPr>
          <w:rFonts w:eastAsia="Century Gothic" w:cs="Century Gothic" w:ascii="Century Gothic" w:hAnsi="Century Gothic"/>
          <w:sz w:val="26"/>
          <w:szCs w:val="26"/>
          <w:u w:val="single"/>
        </w:rPr>
        <w:t xml:space="preserve">Prérequis : </w:t>
      </w:r>
    </w:p>
    <w:p>
      <w:pPr>
        <w:pStyle w:val="Normal"/>
        <w:ind w:left="0" w:hanging="2"/>
        <w:rPr>
          <w:rFonts w:ascii="Century Gothic" w:hAnsi="Century Gothic" w:eastAsia="Century Gothic" w:cs="Century Gothic"/>
          <w:sz w:val="20"/>
          <w:szCs w:val="20"/>
        </w:rPr>
      </w:pPr>
      <w:r>
        <w:rPr>
          <w:rFonts w:eastAsia="Century Gothic" w:cs="Century Gothic" w:ascii="Century Gothic" w:hAnsi="Century Gothic"/>
          <w:sz w:val="20"/>
          <w:szCs w:val="20"/>
        </w:rPr>
        <w:t>Maîtriser l’expression orale et écrite en langue française</w:t>
      </w:r>
    </w:p>
    <w:p>
      <w:pPr>
        <w:pStyle w:val="Normal"/>
        <w:ind w:left="0" w:hanging="2"/>
        <w:rPr>
          <w:rFonts w:ascii="Century Gothic" w:hAnsi="Century Gothic" w:eastAsia="Century Gothic" w:cs="Century Gothic"/>
          <w:color w:val="000000"/>
        </w:rPr>
      </w:pPr>
      <w:r>
        <w:rPr>
          <w:rFonts w:eastAsia="Century Gothic" w:cs="Century Gothic" w:ascii="Century Gothic" w:hAnsi="Century Gothic"/>
          <w:color w:val="000000"/>
        </w:rPr>
      </w:r>
    </w:p>
    <w:p>
      <w:pPr>
        <w:pStyle w:val="Normal"/>
        <w:ind w:left="0" w:hanging="2"/>
        <w:rPr>
          <w:rFonts w:ascii="Century Gothic" w:hAnsi="Century Gothic" w:eastAsia="Century Gothic" w:cs="Century Gothic"/>
          <w:color w:val="000000"/>
        </w:rPr>
      </w:pPr>
      <w:bookmarkStart w:id="1" w:name="_heading=h.30j0zll"/>
      <w:bookmarkStart w:id="2" w:name="_heading=h.30j0zll"/>
      <w:bookmarkEnd w:id="2"/>
      <w:r>
        <w:rPr>
          <w:rFonts w:eastAsia="Century Gothic" w:cs="Century Gothic" w:ascii="Century Gothic" w:hAnsi="Century Gothic"/>
          <w:color w:val="000000"/>
        </w:rPr>
      </w:r>
    </w:p>
    <w:p>
      <w:pPr>
        <w:pStyle w:val="Normal"/>
        <w:keepNext w:val="true"/>
        <w:keepLines/>
        <w:pBdr/>
        <w:spacing w:lineRule="auto" w:line="360" w:before="40" w:after="0"/>
        <w:ind w:left="1" w:hanging="3"/>
        <w:rPr>
          <w:rFonts w:ascii="Century Gothic" w:hAnsi="Century Gothic" w:eastAsia="Century Gothic" w:cs="Century Gothic"/>
          <w:color w:val="000000"/>
          <w:sz w:val="26"/>
          <w:szCs w:val="26"/>
          <w:u w:val="single"/>
        </w:rPr>
      </w:pPr>
      <w:r>
        <w:rPr>
          <w:rFonts w:eastAsia="Century Gothic" w:cs="Century Gothic" w:ascii="Century Gothic" w:hAnsi="Century Gothic"/>
          <w:color w:val="000000"/>
          <w:sz w:val="26"/>
          <w:szCs w:val="26"/>
          <w:u w:val="single"/>
        </w:rPr>
        <w:t xml:space="preserve">Durée de formation : </w:t>
      </w:r>
    </w:p>
    <w:p>
      <w:pPr>
        <w:pStyle w:val="Normal"/>
        <w:pBdr/>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ind w:left="0" w:hanging="2"/>
        <w:rPr>
          <w:rFonts w:ascii="Century Gothic" w:hAnsi="Century Gothic" w:eastAsia="Century Gothic" w:cs="Century Gothic"/>
          <w:color w:val="000000"/>
          <w:sz w:val="20"/>
          <w:szCs w:val="20"/>
        </w:rPr>
      </w:pPr>
      <w:sdt>
        <w:sdtPr>
          <w:id w:val="1849041507"/>
        </w:sdtPr>
        <w:sdtContent>
          <w:r>
            <w:rPr>
              <w:rFonts w:eastAsia="Century Gothic" w:cs="Century Gothic" w:ascii="Century Gothic" w:hAnsi="Century Gothic"/>
              <w:color w:val="000000"/>
              <w:sz w:val="20"/>
              <w:szCs w:val="20"/>
            </w:rPr>
            <w:t>36</w:t>
          </w:r>
        </w:sdtContent>
      </w:sdt>
      <w:r>
        <w:rPr>
          <w:rFonts w:eastAsia="Century Gothic" w:cs="Century Gothic" w:ascii="Century Gothic" w:hAnsi="Century Gothic"/>
          <w:color w:val="000000"/>
          <w:sz w:val="20"/>
          <w:szCs w:val="20"/>
        </w:rPr>
        <w:t xml:space="preserve"> heures</w:t>
      </w:r>
    </w:p>
    <w:p>
      <w:pPr>
        <w:pStyle w:val="Normal"/>
        <w:pBdr/>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ind w:left="0" w:hanging="2"/>
        <w:rPr/>
      </w:pPr>
      <w:sdt>
        <w:sdtPr>
          <w:id w:val="1835654267"/>
        </w:sdtPr>
        <w:sdtContent>
          <w:r>
            <w:rPr>
              <w:rFonts w:eastAsia="Century Gothic" w:cs="Century Gothic" w:ascii="Century Gothic" w:hAnsi="Century Gothic"/>
              <w:color w:val="000000"/>
              <w:sz w:val="20"/>
              <w:szCs w:val="20"/>
            </w:rPr>
            <w:t>8</w:t>
          </w:r>
        </w:sdtContent>
      </w:sdt>
      <w:r>
        <w:rPr>
          <w:rFonts w:eastAsia="Century Gothic" w:cs="Century Gothic" w:ascii="Century Gothic" w:hAnsi="Century Gothic"/>
          <w:color w:val="000000"/>
          <w:sz w:val="20"/>
          <w:szCs w:val="20"/>
        </w:rPr>
        <w:t xml:space="preserve"> jours</w:t>
      </w:r>
    </w:p>
    <w:p>
      <w:pPr>
        <w:pStyle w:val="Normal"/>
        <w:pBdr/>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pBdr/>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keepNext w:val="true"/>
        <w:keepLines/>
        <w:pBdr/>
        <w:spacing w:lineRule="auto" w:line="360" w:before="40" w:after="0"/>
        <w:ind w:left="1" w:hanging="3"/>
        <w:rPr>
          <w:rFonts w:ascii="Century Gothic" w:hAnsi="Century Gothic" w:eastAsia="Century Gothic" w:cs="Century Gothic"/>
          <w:color w:val="000000"/>
          <w:sz w:val="26"/>
          <w:szCs w:val="26"/>
          <w:u w:val="single"/>
        </w:rPr>
      </w:pPr>
      <w:r>
        <w:rPr>
          <w:rFonts w:eastAsia="Century Gothic" w:cs="Century Gothic" w:ascii="Century Gothic" w:hAnsi="Century Gothic"/>
          <w:color w:val="000000"/>
          <w:sz w:val="26"/>
          <w:szCs w:val="26"/>
          <w:u w:val="single"/>
        </w:rPr>
        <w:t xml:space="preserve">Inscription : </w:t>
      </w:r>
    </w:p>
    <w:p>
      <w:pPr>
        <w:pStyle w:val="Normal"/>
        <w:pBdr/>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 xml:space="preserve">Pour toute demande d’inscription, veuillez nous contacter au </w:t>
      </w:r>
      <w:sdt>
        <w:sdtPr>
          <w:id w:val="1939614575"/>
        </w:sdtPr>
        <w:sdtContent>
          <w:r>
            <w:rPr>
              <w:rFonts w:eastAsia="Century Gothic" w:cs="Century Gothic" w:ascii="Century Gothic" w:hAnsi="Century Gothic"/>
              <w:color w:val="000000"/>
              <w:sz w:val="20"/>
              <w:szCs w:val="20"/>
            </w:rPr>
            <w:t xml:space="preserve">06 22 10 01 72 </w:t>
          </w:r>
        </w:sdtContent>
      </w:sdt>
      <w:r>
        <w:rPr>
          <w:rFonts w:eastAsia="Century Gothic" w:cs="Century Gothic" w:ascii="Century Gothic" w:hAnsi="Century Gothic"/>
          <w:color w:val="000000"/>
          <w:sz w:val="20"/>
          <w:szCs w:val="20"/>
        </w:rPr>
        <w:t xml:space="preserve"> ou par email : </w:t>
      </w:r>
      <w:sdt>
        <w:sdtPr>
          <w:id w:val="1240298402"/>
        </w:sdtPr>
        <w:sdtContent>
          <w:r>
            <w:rPr>
              <w:rFonts w:eastAsia="Century Gothic" w:cs="Century Gothic" w:ascii="Century Gothic" w:hAnsi="Century Gothic"/>
              <w:color w:val="000000"/>
              <w:sz w:val="20"/>
              <w:szCs w:val="20"/>
            </w:rPr>
            <w:t>lespetitsphilo@lespetitsphilo.com</w:t>
          </w:r>
        </w:sdtContent>
      </w:sdt>
    </w:p>
    <w:p>
      <w:pPr>
        <w:pStyle w:val="Normal"/>
        <w:pBdr/>
        <w:tabs>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spacing w:lineRule="auto" w:line="360" w:before="280" w:after="0"/>
        <w:ind w:left="1" w:hanging="3"/>
        <w:rPr>
          <w:rFonts w:ascii="Century Gothic" w:hAnsi="Century Gothic" w:eastAsia="Century Gothic" w:cs="Century Gothic"/>
          <w:color w:val="000000"/>
          <w:sz w:val="26"/>
          <w:szCs w:val="26"/>
          <w:u w:val="single"/>
        </w:rPr>
      </w:pPr>
      <w:r>
        <w:rPr>
          <w:rFonts w:eastAsia="Century Gothic" w:cs="Century Gothic" w:ascii="Century Gothic" w:hAnsi="Century Gothic"/>
          <w:color w:val="000000"/>
          <w:sz w:val="26"/>
          <w:szCs w:val="26"/>
          <w:u w:val="single"/>
        </w:rPr>
        <w:t>Objectifs :</w:t>
      </w:r>
    </w:p>
    <w:p>
      <w:pPr>
        <w:pStyle w:val="Normal"/>
        <w:pBdr/>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Acquérir les connaissances, méthodes, postures et habiletés nécessaires pour concevoir, préparer et animer des ateliers de philosophie cohérents à destination des enfants et des adolescents, puis présenter et développer cette activité auprès de différentes structures.</w:t>
      </w:r>
    </w:p>
    <w:p>
      <w:pPr>
        <w:pStyle w:val="Normal"/>
        <w:pBdr/>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pBdr/>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pBdr/>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pBdr/>
        <w:ind w:left="0" w:hanging="2"/>
        <w:rPr>
          <w:rFonts w:ascii="Century Gothic" w:hAnsi="Century Gothic" w:eastAsia="Century Gothic" w:cs="Century Gothic"/>
          <w:color w:val="000000"/>
          <w:sz w:val="20"/>
          <w:szCs w:val="20"/>
        </w:rPr>
      </w:pPr>
      <w:bookmarkStart w:id="3" w:name="_heading=h.1fob9te"/>
      <w:bookmarkStart w:id="4" w:name="_heading=h.1fob9te"/>
      <w:bookmarkEnd w:id="4"/>
      <w:r>
        <w:rPr>
          <w:rFonts w:eastAsia="Century Gothic" w:cs="Century Gothic" w:ascii="Century Gothic" w:hAnsi="Century Gothic"/>
          <w:color w:val="000000"/>
          <w:sz w:val="20"/>
          <w:szCs w:val="20"/>
        </w:rPr>
      </w:r>
    </w:p>
    <w:p>
      <w:pPr>
        <w:pStyle w:val="Normal"/>
        <w:keepNext w:val="true"/>
        <w:keepLines/>
        <w:pBdr/>
        <w:spacing w:lineRule="auto" w:line="360" w:before="40" w:after="0"/>
        <w:ind w:left="1" w:hanging="3"/>
        <w:rPr>
          <w:rFonts w:ascii="Century Gothic" w:hAnsi="Century Gothic" w:eastAsia="Century Gothic" w:cs="Century Gothic"/>
          <w:color w:val="000000"/>
          <w:sz w:val="26"/>
          <w:szCs w:val="26"/>
          <w:u w:val="single"/>
        </w:rPr>
      </w:pPr>
      <w:r>
        <w:rPr>
          <w:rFonts w:eastAsia="Century Gothic" w:cs="Century Gothic" w:ascii="Century Gothic" w:hAnsi="Century Gothic"/>
          <w:color w:val="000000"/>
          <w:sz w:val="26"/>
          <w:szCs w:val="26"/>
          <w:u w:val="single"/>
        </w:rPr>
        <w:t>Moyen et modalité :</w:t>
      </w:r>
    </w:p>
    <w:p>
      <w:pPr>
        <w:pStyle w:val="Normal"/>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A distance</w:t>
      </w:r>
    </w:p>
    <w:p>
      <w:pPr>
        <w:pStyle w:val="Normal"/>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Formation réalisée à distance, alternant 20 heures de formation en ligne en autonomie et 16 heures de formation synchrone en visioconférence, réparties en 8 séances de 2 heures. Les contenus étudiés en autonomie préparent les exercices, analyses, réflexions collectives et mises en situation réalisés lors des visioconférences. La formation comprend des apports théoriques, des exercices pratiques, des analyses d’ateliers, des travaux individuels, des échanges en groupe, des mises en situation et des temps de questions-réponses.</w:t>
      </w:r>
    </w:p>
    <w:p>
      <w:pPr>
        <w:pStyle w:val="Normal"/>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keepNext w:val="true"/>
        <w:keepLines/>
        <w:pBdr/>
        <w:spacing w:lineRule="auto" w:line="259" w:before="40" w:after="0"/>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À l’issue de la période de formation le stagiaire se verra remettre son relevé de connexion certifié par le centre de formation pour contre-signature.</w:t>
      </w:r>
    </w:p>
    <w:p>
      <w:pPr>
        <w:pStyle w:val="Normal"/>
        <w:ind w:left="0" w:hanging="2"/>
        <w:rPr>
          <w:rFonts w:ascii="Century Gothic" w:hAnsi="Century Gothic" w:eastAsia="Century Gothic" w:cs="Century Gothic"/>
          <w:color w:val="000000"/>
        </w:rPr>
      </w:pPr>
      <w:r>
        <w:rPr>
          <w:rFonts w:eastAsia="Century Gothic" w:cs="Century Gothic" w:ascii="Century Gothic" w:hAnsi="Century Gothic"/>
          <w:color w:val="000000"/>
        </w:rPr>
      </w:r>
    </w:p>
    <w:p>
      <w:pPr>
        <w:pStyle w:val="Normal"/>
        <w:keepNext w:val="true"/>
        <w:keepLines/>
        <w:pBdr/>
        <w:spacing w:lineRule="auto" w:line="259" w:before="40" w:after="0"/>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keepNext w:val="true"/>
        <w:keepLines/>
        <w:pBdr/>
        <w:spacing w:lineRule="auto" w:line="360" w:before="40" w:after="0"/>
        <w:ind w:left="1" w:hanging="3"/>
        <w:rPr>
          <w:rFonts w:ascii="Century Gothic" w:hAnsi="Century Gothic" w:eastAsia="Century Gothic" w:cs="Century Gothic"/>
          <w:color w:val="000000"/>
          <w:sz w:val="26"/>
          <w:szCs w:val="26"/>
          <w:u w:val="single"/>
        </w:rPr>
      </w:pPr>
      <w:bookmarkStart w:id="5" w:name="_heading=h.3znysh7"/>
      <w:bookmarkEnd w:id="5"/>
      <w:r>
        <w:rPr>
          <w:rFonts w:eastAsia="Century Gothic" w:cs="Century Gothic" w:ascii="Century Gothic" w:hAnsi="Century Gothic"/>
          <w:color w:val="000000"/>
          <w:sz w:val="26"/>
          <w:szCs w:val="26"/>
          <w:u w:val="single"/>
        </w:rPr>
        <w:t>Moyens Techniques :</w:t>
      </w:r>
    </w:p>
    <w:p>
      <w:pPr>
        <w:pStyle w:val="Normal"/>
        <w:pBd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Plateforme de formation en ligne permettant l’accès aux contenus pédagogiques, aux fiches de synthèse, aux quiz et aux travaux à réaliser. Outil de visioconférence pour les séances synchrones, le visionnage de supports, les exercices, les analyses collectives et les mises en situation. Le stagiaire doit disposer d’un ordinateur ou d’une tablette, d’une connexion Internet, d’une webcam, d’un microphone et d’un accès à la plateforme de formation.</w:t>
      </w:r>
    </w:p>
    <w:p>
      <w:pPr>
        <w:pStyle w:val="Normal"/>
        <w:keepNext w:val="true"/>
        <w:keepLines/>
        <w:pBdr/>
        <w:spacing w:lineRule="auto" w:line="259" w:before="40" w:after="0"/>
        <w:ind w:left="1" w:hanging="3"/>
        <w:rPr>
          <w:rFonts w:ascii="Century Gothic" w:hAnsi="Century Gothic" w:eastAsia="Century Gothic" w:cs="Century Gothic"/>
          <w:color w:val="000000"/>
          <w:sz w:val="26"/>
          <w:szCs w:val="26"/>
        </w:rPr>
      </w:pPr>
      <w:r>
        <w:rPr>
          <w:rFonts w:eastAsia="Century Gothic" w:cs="Century Gothic" w:ascii="Century Gothic" w:hAnsi="Century Gothic"/>
          <w:color w:val="000000"/>
          <w:sz w:val="26"/>
          <w:szCs w:val="26"/>
        </w:rPr>
      </w:r>
    </w:p>
    <w:p>
      <w:pPr>
        <w:pStyle w:val="Normal"/>
        <w:ind w:left="0" w:hanging="0"/>
        <w:rPr>
          <w:rFonts w:ascii="Century Gothic" w:hAnsi="Century Gothic" w:eastAsia="Century Gothic" w:cs="Century Gothic"/>
          <w:color w:val="000000"/>
          <w:sz w:val="20"/>
          <w:szCs w:val="20"/>
          <w:highlight w:val="white"/>
        </w:rPr>
      </w:pPr>
      <w:r>
        <w:rPr>
          <w:rFonts w:eastAsia="Century Gothic" w:cs="Century Gothic" w:ascii="Century Gothic" w:hAnsi="Century Gothic"/>
          <w:color w:val="000000"/>
          <w:sz w:val="20"/>
          <w:szCs w:val="20"/>
          <w:highlight w:val="white"/>
        </w:rPr>
      </w:r>
    </w:p>
    <w:p>
      <w:pPr>
        <w:pStyle w:val="Normal"/>
        <w:ind w:left="0" w:hanging="2"/>
        <w:rPr>
          <w:rFonts w:ascii="Century Gothic" w:hAnsi="Century Gothic" w:eastAsia="Century Gothic" w:cs="Century Gothic"/>
          <w:color w:val="000000"/>
          <w:sz w:val="20"/>
          <w:szCs w:val="20"/>
          <w:highlight w:val="white"/>
        </w:rPr>
      </w:pPr>
      <w:r>
        <w:rPr>
          <w:rFonts w:eastAsia="Century Gothic" w:cs="Century Gothic" w:ascii="Century Gothic" w:hAnsi="Century Gothic"/>
          <w:color w:val="000000"/>
          <w:sz w:val="20"/>
          <w:szCs w:val="20"/>
          <w:highlight w:val="white"/>
        </w:rPr>
      </w:r>
    </w:p>
    <w:p>
      <w:pPr>
        <w:pStyle w:val="Normal"/>
        <w:ind w:left="0" w:hanging="2"/>
        <w:rPr>
          <w:rFonts w:ascii="Century Gothic" w:hAnsi="Century Gothic" w:eastAsia="Century Gothic" w:cs="Century Gothic"/>
          <w:color w:val="000000"/>
          <w:sz w:val="20"/>
          <w:szCs w:val="20"/>
          <w:highlight w:val="white"/>
        </w:rPr>
      </w:pPr>
      <w:r>
        <w:rPr>
          <w:rFonts w:eastAsia="Century Gothic" w:cs="Century Gothic" w:ascii="Century Gothic" w:hAnsi="Century Gothic"/>
          <w:color w:val="000000"/>
          <w:sz w:val="20"/>
          <w:szCs w:val="20"/>
          <w:highlight w:val="white"/>
        </w:rPr>
      </w:r>
    </w:p>
    <w:p>
      <w:pPr>
        <w:pStyle w:val="Normal"/>
        <w:keepNext w:val="true"/>
        <w:keepLines/>
        <w:pBdr/>
        <w:spacing w:lineRule="auto" w:line="360" w:before="40" w:after="0"/>
        <w:ind w:left="1" w:hanging="3"/>
        <w:rPr>
          <w:rFonts w:ascii="Century Gothic" w:hAnsi="Century Gothic" w:eastAsia="Century Gothic" w:cs="Century Gothic"/>
          <w:color w:val="000000"/>
          <w:sz w:val="26"/>
          <w:szCs w:val="26"/>
          <w:u w:val="single"/>
        </w:rPr>
      </w:pPr>
      <w:r>
        <w:rPr>
          <w:rFonts w:eastAsia="Century Gothic" w:cs="Century Gothic" w:ascii="Century Gothic" w:hAnsi="Century Gothic"/>
          <w:color w:val="000000"/>
          <w:sz w:val="26"/>
          <w:szCs w:val="26"/>
          <w:u w:val="single"/>
        </w:rPr>
        <w:t>Adaptation et suivi de la formation :</w:t>
      </w:r>
    </w:p>
    <w:p>
      <w:pPr>
        <w:pStyle w:val="Normal"/>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highlight w:val="white"/>
        </w:rPr>
        <w:t>Un suivi de la formation et accompagnement seront réalisés tout au long de la formation. La formation pourra être adaptée pour palier à des difficultés majeures rencontrées par l’apprenant.</w:t>
      </w:r>
    </w:p>
    <w:p>
      <w:pPr>
        <w:pStyle w:val="Normal"/>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ind w:left="0" w:hanging="2"/>
        <w:rPr>
          <w:rFonts w:ascii="Century Gothic" w:hAnsi="Century Gothic" w:eastAsia="Century Gothic" w:cs="Century Gothic"/>
          <w:color w:val="000000"/>
        </w:rPr>
      </w:pPr>
      <w:bookmarkStart w:id="6" w:name="_heading=h.tyjcwt"/>
      <w:bookmarkStart w:id="7" w:name="_heading=h.tyjcwt"/>
      <w:bookmarkEnd w:id="7"/>
      <w:r>
        <w:rPr>
          <w:rFonts w:eastAsia="Century Gothic" w:cs="Century Gothic" w:ascii="Century Gothic" w:hAnsi="Century Gothic"/>
          <w:color w:val="000000"/>
        </w:rPr>
      </w:r>
    </w:p>
    <w:p>
      <w:pPr>
        <w:pStyle w:val="Normal"/>
        <w:keepNext w:val="true"/>
        <w:keepLines/>
        <w:pBdr/>
        <w:spacing w:lineRule="auto" w:line="360" w:before="40" w:after="0"/>
        <w:ind w:left="1" w:hanging="3"/>
        <w:rPr>
          <w:rFonts w:ascii="Century Gothic" w:hAnsi="Century Gothic" w:eastAsia="Century Gothic" w:cs="Century Gothic"/>
          <w:color w:val="000000"/>
          <w:sz w:val="26"/>
          <w:szCs w:val="26"/>
          <w:u w:val="single"/>
        </w:rPr>
      </w:pPr>
      <w:r>
        <w:rPr>
          <w:rFonts w:eastAsia="Century Gothic" w:cs="Century Gothic" w:ascii="Century Gothic" w:hAnsi="Century Gothic"/>
          <w:color w:val="000000"/>
          <w:sz w:val="26"/>
          <w:szCs w:val="26"/>
          <w:u w:val="single"/>
        </w:rPr>
        <w:t>Évaluation de parcours :</w:t>
      </w:r>
    </w:p>
    <w:p>
      <w:pPr>
        <w:pStyle w:val="Normal"/>
        <w:widowControl w:val="false"/>
        <w:pBdr/>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Le contrôle de connaissances permettant de vérifier le niveau de connaissances acquis par les Stagiaires est effectué selon les modalités suivantes :</w:t>
      </w:r>
    </w:p>
    <w:p>
      <w:pPr>
        <w:pStyle w:val="Normal"/>
        <w:pBd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pBd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Évaluation progressive au moyen d’exercices, d’analyses, de mises en situation, de travaux à réaliser en autonomie et de quiz de validation à la fin de chaque module. Une évaluation finale est réalisée au moyen d’un quiz de fin de formation.</w:t>
      </w:r>
    </w:p>
    <w:p>
      <w:pPr>
        <w:pStyle w:val="Normal"/>
        <w:pBd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pBd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ind w:left="0" w:hanging="2"/>
        <w:rPr>
          <w:rFonts w:ascii="Century Gothic" w:hAnsi="Century Gothic" w:eastAsia="Century Gothic" w:cs="Century Gothic"/>
          <w:color w:val="000000"/>
          <w:sz w:val="18"/>
          <w:szCs w:val="18"/>
        </w:rPr>
      </w:pPr>
      <w:r>
        <w:rPr>
          <w:rFonts w:eastAsia="Century Gothic" w:cs="Century Gothic" w:ascii="Century Gothic" w:hAnsi="Century Gothic"/>
          <w:color w:val="000000"/>
          <w:sz w:val="18"/>
          <w:szCs w:val="18"/>
        </w:rPr>
      </w:r>
    </w:p>
    <w:p>
      <w:pPr>
        <w:pStyle w:val="Normal"/>
        <w:pBd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ind w:left="0" w:hanging="2"/>
        <w:rPr>
          <w:rFonts w:ascii="Century Gothic" w:hAnsi="Century Gothic" w:eastAsia="Century Gothic" w:cs="Century Gothic"/>
          <w:color w:val="000000"/>
          <w:sz w:val="18"/>
          <w:szCs w:val="18"/>
        </w:rPr>
      </w:pPr>
      <w:r>
        <w:rPr>
          <w:rFonts w:eastAsia="Century Gothic" w:cs="Century Gothic" w:ascii="Century Gothic" w:hAnsi="Century Gothic"/>
          <w:color w:val="000000"/>
          <w:sz w:val="18"/>
          <w:szCs w:val="18"/>
        </w:rPr>
      </w:r>
    </w:p>
    <w:p>
      <w:pPr>
        <w:pStyle w:val="Normal"/>
        <w:pBd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ind w:left="0" w:hanging="2"/>
        <w:rPr>
          <w:rFonts w:ascii="Century Gothic" w:hAnsi="Century Gothic" w:eastAsia="Century Gothic" w:cs="Century Gothic"/>
          <w:color w:val="000000"/>
          <w:sz w:val="18"/>
          <w:szCs w:val="18"/>
        </w:rPr>
      </w:pPr>
      <w:bookmarkStart w:id="8" w:name="_heading=h.3dy6vkm"/>
      <w:bookmarkStart w:id="9" w:name="_heading=h.3dy6vkm"/>
      <w:bookmarkEnd w:id="9"/>
      <w:r>
        <w:rPr>
          <w:rFonts w:eastAsia="Century Gothic" w:cs="Century Gothic" w:ascii="Century Gothic" w:hAnsi="Century Gothic"/>
          <w:color w:val="000000"/>
          <w:sz w:val="18"/>
          <w:szCs w:val="18"/>
        </w:rPr>
      </w:r>
    </w:p>
    <w:p>
      <w:pPr>
        <w:pStyle w:val="Normal"/>
        <w:keepNext w:val="true"/>
        <w:keepLines/>
        <w:pBdr/>
        <w:spacing w:lineRule="auto" w:line="360" w:before="40" w:after="0"/>
        <w:ind w:left="1" w:hanging="3"/>
        <w:rPr>
          <w:rFonts w:ascii="Century Gothic" w:hAnsi="Century Gothic" w:eastAsia="Century Gothic" w:cs="Century Gothic"/>
          <w:color w:val="000000"/>
          <w:sz w:val="26"/>
          <w:szCs w:val="26"/>
          <w:u w:val="single"/>
        </w:rPr>
      </w:pPr>
      <w:r>
        <w:rPr>
          <w:rFonts w:eastAsia="Century Gothic" w:cs="Century Gothic" w:ascii="Century Gothic" w:hAnsi="Century Gothic"/>
          <w:color w:val="000000"/>
          <w:sz w:val="26"/>
          <w:szCs w:val="26"/>
          <w:u w:val="single"/>
        </w:rPr>
        <w:t>Délai d’accès :</w:t>
      </w:r>
    </w:p>
    <w:p>
      <w:pPr>
        <w:pStyle w:val="Normal"/>
        <w:widowControl w:val="false"/>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Un délai minimum et incompressible de 14 jours entre l'inscription et l’accès à la formation est appliqué.</w:t>
      </w:r>
    </w:p>
    <w:p>
      <w:pPr>
        <w:pStyle w:val="Normal"/>
        <w:widowControl w:val="false"/>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widowControl w:val="false"/>
        <w:ind w:left="0" w:hanging="2"/>
        <w:rPr>
          <w:rFonts w:ascii="Century Gothic" w:hAnsi="Century Gothic" w:eastAsia="Century Gothic" w:cs="Century Gothic"/>
          <w:color w:val="000000"/>
        </w:rPr>
      </w:pPr>
      <w:bookmarkStart w:id="10" w:name="_heading=h.1t3h5sf"/>
      <w:bookmarkStart w:id="11" w:name="_heading=h.1t3h5sf"/>
      <w:bookmarkEnd w:id="11"/>
      <w:r>
        <w:rPr>
          <w:rFonts w:eastAsia="Century Gothic" w:cs="Century Gothic" w:ascii="Century Gothic" w:hAnsi="Century Gothic"/>
          <w:color w:val="000000"/>
        </w:rPr>
      </w:r>
    </w:p>
    <w:p>
      <w:pPr>
        <w:pStyle w:val="Normal"/>
        <w:pBdr/>
        <w:spacing w:lineRule="auto" w:line="360" w:before="360" w:after="0"/>
        <w:ind w:left="1" w:hanging="3"/>
        <w:jc w:val="both"/>
        <w:rPr>
          <w:rFonts w:ascii="Century Gothic" w:hAnsi="Century Gothic" w:eastAsia="Century Gothic" w:cs="Century Gothic"/>
          <w:color w:val="000000"/>
          <w:sz w:val="26"/>
          <w:szCs w:val="26"/>
        </w:rPr>
      </w:pPr>
      <w:r>
        <w:rPr>
          <w:rFonts w:eastAsia="Century Gothic" w:cs="Century Gothic" w:ascii="Century Gothic" w:hAnsi="Century Gothic"/>
          <w:color w:val="000000"/>
          <w:sz w:val="26"/>
          <w:szCs w:val="26"/>
          <w:u w:val="single"/>
        </w:rPr>
        <w:t>Handicap</w:t>
      </w:r>
      <w:r>
        <w:rPr>
          <w:rFonts w:eastAsia="Century Gothic" w:cs="Century Gothic" w:ascii="Century Gothic" w:hAnsi="Century Gothic"/>
          <w:color w:val="000000"/>
          <w:sz w:val="26"/>
          <w:szCs w:val="26"/>
        </w:rPr>
        <w:t xml:space="preserve"> :</w:t>
      </w:r>
    </w:p>
    <w:p>
      <w:pPr>
        <w:pStyle w:val="Normal"/>
        <w:ind w:left="0" w:hanging="2"/>
        <w:jc w:val="both"/>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 xml:space="preserve">Toutes les formations dispensées à </w:t>
      </w:r>
      <w:sdt>
        <w:sdtPr>
          <w:id w:val="1053498846"/>
        </w:sdtPr>
        <w:sdtContent>
          <w:r>
            <w:rPr>
              <w:rFonts w:eastAsia="Century Gothic" w:cs="Century Gothic" w:ascii="Century Gothic" w:hAnsi="Century Gothic"/>
              <w:color w:val="000000"/>
              <w:sz w:val="20"/>
              <w:szCs w:val="20"/>
            </w:rPr>
            <w:t xml:space="preserve"> Nadia THUILLIERS</w:t>
          </w:r>
        </w:sdtContent>
      </w:sdt>
      <w:r>
        <w:rPr>
          <w:rFonts w:eastAsia="Century Gothic" w:cs="Century Gothic" w:ascii="Century Gothic" w:hAnsi="Century Gothic"/>
          <w:color w:val="000000"/>
          <w:sz w:val="20"/>
          <w:szCs w:val="20"/>
        </w:rPr>
        <w:t xml:space="preserve"> sont accessibles aux personnes en situation de handicap</w:t>
      </w:r>
      <w:r>
        <w:rPr>
          <w:rFonts w:eastAsia="Century Gothic" w:cs="Century Gothic" w:ascii="Century Gothic" w:hAnsi="Century Gothic"/>
          <w:color w:val="000000"/>
          <w:sz w:val="20"/>
          <w:szCs w:val="20"/>
        </w:rPr>
        <w:t>. Lors de l’inscription à nos formations, nous étudions avec le candidat en situation de handicap et à travers un questionnaire les actions que nous pouvons mettre en place pour favoriser son apprentissage.</w:t>
      </w:r>
    </w:p>
    <w:p>
      <w:pPr>
        <w:pStyle w:val="Normal"/>
        <w:ind w:left="0" w:hanging="2"/>
        <w:jc w:val="both"/>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Pour cela, nous pouvons également nous appuyer sur un réseau de partenaires nationaux préalablement identifiés.</w:t>
      </w:r>
    </w:p>
    <w:p>
      <w:pPr>
        <w:pStyle w:val="Normal"/>
        <w:widowControl w:val="false"/>
        <w:ind w:left="0" w:hanging="2"/>
        <w:rPr>
          <w:rFonts w:ascii="Century Gothic" w:hAnsi="Century Gothic" w:eastAsia="Century Gothic" w:cs="Century Gothic"/>
          <w:color w:val="FF0000"/>
          <w:sz w:val="20"/>
          <w:szCs w:val="20"/>
        </w:rPr>
      </w:pPr>
      <w:r>
        <w:rPr>
          <w:rFonts w:eastAsia="Century Gothic" w:cs="Century Gothic" w:ascii="Century Gothic" w:hAnsi="Century Gothic"/>
          <w:color w:val="000000"/>
          <w:sz w:val="20"/>
          <w:szCs w:val="20"/>
        </w:rPr>
        <w:t xml:space="preserve">Coordonnées des partenaires handicap : </w:t>
      </w:r>
    </w:p>
    <w:p>
      <w:pPr>
        <w:pStyle w:val="Normal"/>
        <w:widowControl/>
        <w:spacing w:lineRule="auto" w:line="240" w:before="150" w:after="150"/>
        <w:ind w:left="0" w:right="0" w:hanging="1"/>
        <w:jc w:val="left"/>
        <w:rPr/>
      </w:pPr>
      <w:r>
        <w:rPr>
          <w:rFonts w:eastAsia="Century Gothic" w:cs="Century Gothic" w:ascii="Century Gothic" w:hAnsi="Century Gothic"/>
          <w:b/>
          <w:bCs/>
          <w:color w:val="000000"/>
          <w:sz w:val="15"/>
          <w:szCs w:val="15"/>
        </w:rPr>
        <w:t>AGEFIPH</w:t>
      </w:r>
      <w:r>
        <w:rPr>
          <w:rFonts w:eastAsia="Century Gothic" w:cs="Century Gothic" w:ascii="Century Gothic" w:hAnsi="Century Gothic"/>
          <w:color w:val="000000"/>
          <w:sz w:val="15"/>
          <w:szCs w:val="15"/>
        </w:rPr>
        <w:br/>
        <w:t>Hélène Patry Heintz Aline DA DALTO</w:t>
        <w:br/>
        <w:t>04 42 93 15 50</w:t>
        <w:br/>
        <w:t>rhf-provence-alpes-cotedazur@agefiph.asso.fr</w:t>
      </w:r>
    </w:p>
    <w:p>
      <w:pPr>
        <w:pStyle w:val="Normal"/>
        <w:widowControl/>
        <w:spacing w:lineRule="auto" w:line="240" w:before="150" w:after="150"/>
        <w:ind w:left="0" w:right="0" w:hanging="1"/>
        <w:jc w:val="left"/>
        <w:rPr/>
      </w:pPr>
      <w:r>
        <w:rPr>
          <w:rFonts w:eastAsia="Century Gothic" w:cs="Century Gothic" w:ascii="Century Gothic" w:hAnsi="Century Gothic"/>
          <w:b/>
          <w:bCs/>
          <w:color w:val="000000"/>
          <w:sz w:val="15"/>
          <w:szCs w:val="15"/>
        </w:rPr>
        <w:t>MDPH</w:t>
      </w:r>
      <w:r>
        <w:rPr>
          <w:rFonts w:eastAsia="Century Gothic" w:cs="Century Gothic" w:ascii="Century Gothic" w:hAnsi="Century Gothic"/>
          <w:color w:val="000000"/>
          <w:sz w:val="15"/>
          <w:szCs w:val="15"/>
        </w:rPr>
        <w:br/>
        <w:t>MDPH06 27, boulevard Paul Montel Nice Leader Bâtiment Ariane 06200 Nice</w:t>
        <w:br/>
        <w:t>0 805 560 580</w:t>
        <w:br/>
        <w:t>mdph@cg06.fr</w:t>
      </w:r>
    </w:p>
    <w:p>
      <w:pPr>
        <w:pStyle w:val="Normal"/>
        <w:widowControl/>
        <w:spacing w:lineRule="auto" w:line="240" w:before="150" w:after="150"/>
        <w:ind w:left="0" w:right="0" w:hanging="1"/>
        <w:jc w:val="left"/>
        <w:rPr/>
      </w:pPr>
      <w:r>
        <w:rPr>
          <w:rFonts w:eastAsia="Century Gothic" w:cs="Century Gothic" w:ascii="Century Gothic" w:hAnsi="Century Gothic"/>
          <w:b/>
          <w:bCs/>
          <w:color w:val="000000"/>
          <w:sz w:val="15"/>
          <w:szCs w:val="15"/>
        </w:rPr>
        <w:t>CAP EMPLOI</w:t>
      </w:r>
      <w:r>
        <w:rPr>
          <w:rFonts w:eastAsia="Century Gothic" w:cs="Century Gothic" w:ascii="Century Gothic" w:hAnsi="Century Gothic"/>
          <w:color w:val="000000"/>
          <w:sz w:val="15"/>
          <w:szCs w:val="15"/>
        </w:rPr>
        <w:br/>
        <w:t>Le Cap Var C1148 Avenue Guynemer</w:t>
        <w:br/>
        <w:t>06700 - Saint-Laurent-du-Var</w:t>
        <w:br/>
        <w:t>Tel : 04 93 19 30 80</w:t>
      </w:r>
    </w:p>
    <w:p>
      <w:pPr>
        <w:pStyle w:val="Normal"/>
        <w:widowControl/>
        <w:spacing w:lineRule="auto" w:line="240" w:before="150" w:after="150"/>
        <w:ind w:left="0" w:right="0" w:hanging="1"/>
        <w:jc w:val="left"/>
        <w:rPr/>
      </w:pPr>
      <w:r>
        <w:rPr>
          <w:rFonts w:eastAsia="Century Gothic" w:cs="Century Gothic" w:ascii="Century Gothic" w:hAnsi="Century Gothic"/>
          <w:b/>
          <w:bCs/>
          <w:color w:val="000000"/>
          <w:sz w:val="15"/>
          <w:szCs w:val="15"/>
        </w:rPr>
        <w:t>Association Pour Adultes et Jeunes Handicapés</w:t>
      </w:r>
      <w:r>
        <w:rPr>
          <w:rFonts w:eastAsia="Century Gothic" w:cs="Century Gothic" w:ascii="Century Gothic" w:hAnsi="Century Gothic"/>
          <w:color w:val="000000"/>
          <w:sz w:val="15"/>
          <w:szCs w:val="15"/>
        </w:rPr>
        <w:br/>
        <w:t>Association APAJH des Alpes Maritimes</w:t>
        <w:br/>
        <w:t>268 Avenue de la Californie 06200 Nice</w:t>
      </w:r>
    </w:p>
    <w:p>
      <w:pPr>
        <w:pStyle w:val="Normal"/>
        <w:widowControl w:val="false"/>
        <w:ind w:left="0" w:hanging="2"/>
        <w:rPr>
          <w:rFonts w:ascii="Century Gothic" w:hAnsi="Century Gothic" w:eastAsia="Century Gothic" w:cs="Century Gothic"/>
          <w:color w:val="000000"/>
        </w:rPr>
      </w:pPr>
      <w:r>
        <w:rPr>
          <w:rFonts w:eastAsia="Century Gothic" w:cs="Century Gothic" w:ascii="Century Gothic" w:hAnsi="Century Gothic"/>
          <w:color w:val="000000"/>
        </w:rPr>
      </w:r>
    </w:p>
    <w:p>
      <w:pPr>
        <w:pStyle w:val="Normal"/>
        <w:widowControl w:val="false"/>
        <w:ind w:left="0" w:hanging="2"/>
        <w:rPr>
          <w:rFonts w:ascii="Century Gothic" w:hAnsi="Century Gothic" w:eastAsia="Century Gothic" w:cs="Century Gothic"/>
          <w:color w:val="000000"/>
        </w:rPr>
      </w:pPr>
      <w:r>
        <w:rPr>
          <w:rFonts w:eastAsia="Century Gothic" w:cs="Century Gothic" w:ascii="Century Gothic" w:hAnsi="Century Gothic"/>
          <w:color w:val="000000"/>
        </w:rPr>
      </w:r>
    </w:p>
    <w:p>
      <w:pPr>
        <w:pStyle w:val="Normal"/>
        <w:keepNext w:val="true"/>
        <w:keepLines/>
        <w:pBdr/>
        <w:spacing w:lineRule="auto" w:line="360" w:before="40" w:after="0"/>
        <w:ind w:left="1" w:hanging="3"/>
        <w:rPr>
          <w:rFonts w:ascii="Century Gothic" w:hAnsi="Century Gothic" w:eastAsia="Century Gothic" w:cs="Century Gothic"/>
          <w:color w:val="000000"/>
          <w:sz w:val="26"/>
          <w:szCs w:val="26"/>
          <w:u w:val="single"/>
        </w:rPr>
      </w:pPr>
      <w:r>
        <w:rPr>
          <w:rFonts w:eastAsia="Century Gothic" w:cs="Century Gothic" w:ascii="Century Gothic" w:hAnsi="Century Gothic"/>
          <w:color w:val="000000"/>
          <w:sz w:val="26"/>
          <w:szCs w:val="26"/>
          <w:u w:val="single"/>
        </w:rPr>
        <w:t>Évaluation du besoin :</w:t>
      </w:r>
    </w:p>
    <w:p>
      <w:pPr>
        <w:pStyle w:val="Normal"/>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highlight w:val="white"/>
        </w:rPr>
        <w:t>Un questionnaire sera proposé pour analyser l’adéquation du besoin de formation avec les formations dispensées.</w:t>
      </w:r>
    </w:p>
    <w:p>
      <w:pPr>
        <w:pStyle w:val="Normal"/>
        <w:widowControl w:val="false"/>
        <w:ind w:left="0" w:hanging="2"/>
        <w:rPr>
          <w:rFonts w:ascii="Century Gothic" w:hAnsi="Century Gothic" w:eastAsia="Century Gothic" w:cs="Century Gothic"/>
          <w:color w:val="000000"/>
        </w:rPr>
      </w:pPr>
      <w:r>
        <w:rPr>
          <w:rFonts w:eastAsia="Century Gothic" w:cs="Century Gothic" w:ascii="Century Gothic" w:hAnsi="Century Gothic"/>
          <w:color w:val="000000"/>
        </w:rPr>
      </w:r>
    </w:p>
    <w:p>
      <w:pPr>
        <w:pStyle w:val="Normal"/>
        <w:widowControl w:val="false"/>
        <w:pBdr/>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keepNext w:val="true"/>
        <w:keepLines/>
        <w:pBdr/>
        <w:spacing w:lineRule="auto" w:line="360" w:before="40" w:after="0"/>
        <w:ind w:left="1" w:hanging="3"/>
        <w:rPr>
          <w:rFonts w:ascii="Century Gothic" w:hAnsi="Century Gothic" w:eastAsia="Century Gothic" w:cs="Century Gothic"/>
          <w:sz w:val="26"/>
          <w:szCs w:val="26"/>
          <w:u w:val="single"/>
        </w:rPr>
      </w:pPr>
      <w:r>
        <w:rPr>
          <w:rFonts w:eastAsia="Century Gothic" w:cs="Century Gothic" w:ascii="Century Gothic" w:hAnsi="Century Gothic"/>
          <w:sz w:val="26"/>
          <w:szCs w:val="26"/>
          <w:u w:val="single"/>
        </w:rPr>
      </w:r>
    </w:p>
    <w:p>
      <w:pPr>
        <w:pStyle w:val="Normal"/>
        <w:keepNext w:val="true"/>
        <w:keepLines/>
        <w:pBdr/>
        <w:spacing w:lineRule="auto" w:line="360" w:before="40" w:after="0"/>
        <w:ind w:left="1" w:hanging="3"/>
        <w:rPr>
          <w:rFonts w:ascii="Century Gothic" w:hAnsi="Century Gothic" w:eastAsia="Century Gothic" w:cs="Century Gothic"/>
          <w:sz w:val="26"/>
          <w:szCs w:val="26"/>
          <w:u w:val="single"/>
        </w:rPr>
      </w:pPr>
      <w:r>
        <w:rPr>
          <w:rFonts w:eastAsia="Century Gothic" w:cs="Century Gothic" w:ascii="Century Gothic" w:hAnsi="Century Gothic"/>
          <w:color w:val="000000"/>
          <w:sz w:val="26"/>
          <w:szCs w:val="26"/>
          <w:u w:val="single"/>
        </w:rPr>
        <w:t>Le Prix :</w:t>
      </w:r>
    </w:p>
    <w:p>
      <w:pPr>
        <w:pStyle w:val="Normal"/>
        <w:ind w:left="0" w:hanging="2"/>
        <w:rPr/>
      </w:pPr>
      <w:r>
        <w:rPr>
          <w:rFonts w:eastAsia="Century Gothic" w:cs="Century Gothic" w:ascii="Century Gothic" w:hAnsi="Century Gothic"/>
          <w:color w:val="000000"/>
          <w:sz w:val="20"/>
          <w:szCs w:val="20"/>
        </w:rPr>
        <w:t>799 €</w:t>
      </w:r>
    </w:p>
    <w:p>
      <w:pPr>
        <w:pStyle w:val="Normal"/>
        <w:ind w:left="0" w:hanging="2"/>
        <w:rPr>
          <w:rFonts w:ascii="Century Gothic" w:hAnsi="Century Gothic" w:eastAsia="Century Gothic" w:cs="Century Gothic"/>
          <w:color w:val="000000"/>
        </w:rPr>
      </w:pPr>
      <w:r>
        <w:rPr>
          <w:rFonts w:eastAsia="Century Gothic" w:cs="Century Gothic" w:ascii="Century Gothic" w:hAnsi="Century Gothic"/>
          <w:color w:val="000000"/>
        </w:rPr>
      </w:r>
    </w:p>
    <w:p>
      <w:pPr>
        <w:pStyle w:val="Normal"/>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r>
    </w:p>
    <w:p>
      <w:pPr>
        <w:pStyle w:val="Normal"/>
        <w:ind w:left="0" w:hanging="2"/>
        <w:rPr>
          <w:rFonts w:ascii="Century Gothic" w:hAnsi="Century Gothic" w:eastAsia="Century Gothic" w:cs="Century Gothic"/>
          <w:color w:val="000000"/>
        </w:rPr>
      </w:pPr>
      <w:bookmarkStart w:id="12" w:name="_heading=h.4d34og8"/>
      <w:bookmarkStart w:id="13" w:name="_heading=h.4d34og8"/>
      <w:bookmarkEnd w:id="13"/>
      <w:r>
        <w:rPr>
          <w:rFonts w:eastAsia="Century Gothic" w:cs="Century Gothic" w:ascii="Century Gothic" w:hAnsi="Century Gothic"/>
          <w:color w:val="000000"/>
        </w:rPr>
      </w:r>
    </w:p>
    <w:p>
      <w:pPr>
        <w:pStyle w:val="Normal"/>
        <w:keepNext w:val="true"/>
        <w:keepLines/>
        <w:pBdr/>
        <w:spacing w:lineRule="auto" w:line="360" w:before="40" w:after="0"/>
        <w:ind w:left="1" w:hanging="3"/>
        <w:rPr>
          <w:rFonts w:ascii="Century Gothic" w:hAnsi="Century Gothic" w:eastAsia="Century Gothic" w:cs="Century Gothic"/>
          <w:color w:val="000000"/>
          <w:sz w:val="26"/>
          <w:szCs w:val="26"/>
          <w:u w:val="single"/>
        </w:rPr>
      </w:pPr>
      <w:r>
        <w:rPr>
          <w:rFonts w:eastAsia="Century Gothic" w:cs="Century Gothic" w:ascii="Century Gothic" w:hAnsi="Century Gothic"/>
          <w:color w:val="000000"/>
          <w:sz w:val="26"/>
          <w:szCs w:val="26"/>
          <w:u w:val="single"/>
        </w:rPr>
        <w:t>Contact :</w:t>
      </w:r>
    </w:p>
    <w:p>
      <w:pPr>
        <w:pStyle w:val="Normal"/>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THUILLIERS Nadia</w:t>
      </w:r>
    </w:p>
    <w:p>
      <w:pPr>
        <w:pStyle w:val="Normal"/>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lespetitsphilo@lespetitsphilo.com</w:t>
      </w:r>
    </w:p>
    <w:p>
      <w:pPr>
        <w:pStyle w:val="Normal"/>
        <w:ind w:left="0" w:hanging="2"/>
        <w:rPr>
          <w:rFonts w:ascii="Century Gothic" w:hAnsi="Century Gothic" w:eastAsia="Century Gothic" w:cs="Century Gothic"/>
          <w:color w:val="000000"/>
          <w:sz w:val="20"/>
          <w:szCs w:val="20"/>
        </w:rPr>
      </w:pPr>
      <w:r>
        <w:rPr>
          <w:rFonts w:eastAsia="Century Gothic" w:cs="Century Gothic" w:ascii="Century Gothic" w:hAnsi="Century Gothic"/>
          <w:color w:val="000000"/>
          <w:sz w:val="20"/>
          <w:szCs w:val="20"/>
        </w:rPr>
        <w:t xml:space="preserve">06 22 10 01 72 </w:t>
      </w:r>
    </w:p>
    <w:p>
      <w:pPr>
        <w:pStyle w:val="Normal"/>
        <w:ind w:left="0" w:hanging="2"/>
        <w:rPr/>
      </w:pPr>
      <w:r>
        <w:rPr/>
      </w:r>
    </w:p>
    <w:p>
      <w:pPr>
        <w:pStyle w:val="Normal"/>
        <w:ind w:left="0" w:hanging="2"/>
        <w:rPr/>
      </w:pPr>
      <w:r>
        <w:rPr/>
      </w:r>
    </w:p>
    <w:p>
      <w:pPr>
        <w:pStyle w:val="Normal"/>
        <w:ind w:left="0" w:hanging="2"/>
        <w:rPr/>
      </w:pPr>
      <w:r>
        <w:rPr/>
      </w:r>
    </w:p>
    <w:p>
      <w:pPr>
        <w:pStyle w:val="Normal"/>
        <w:ind w:left="0" w:hanging="2"/>
        <w:rPr>
          <w:rFonts w:ascii="Century Gothic" w:hAnsi="Century Gothic" w:eastAsia="Century Gothic" w:cs="Century Gothic"/>
        </w:rPr>
      </w:pPr>
      <w:r>
        <w:rPr>
          <w:rFonts w:eastAsia="Century Gothic" w:cs="Century Gothic" w:ascii="Century Gothic" w:hAnsi="Century Gothic"/>
        </w:rPr>
      </w:r>
    </w:p>
    <w:p>
      <w:pPr>
        <w:pStyle w:val="Normal"/>
        <w:spacing w:lineRule="auto" w:line="276"/>
        <w:ind w:left="0" w:hanging="2"/>
        <w:rPr>
          <w:rFonts w:ascii="Century Gothic" w:hAnsi="Century Gothic" w:eastAsia="Century Gothic" w:cs="Century Gothic"/>
          <w:u w:val="single"/>
        </w:rPr>
      </w:pPr>
      <w:r>
        <w:rPr>
          <w:rFonts w:eastAsia="Century Gothic" w:cs="Century Gothic" w:ascii="Century Gothic" w:hAnsi="Century Gothic"/>
          <w:u w:val="single"/>
        </w:rPr>
        <w:t>QUELQUES CHIFFRES:</w:t>
      </w:r>
    </w:p>
    <w:p>
      <w:pPr>
        <w:pStyle w:val="Normal"/>
        <w:spacing w:lineRule="auto" w:line="276"/>
        <w:ind w:left="0" w:hanging="2"/>
        <w:rPr>
          <w:rFonts w:ascii="Century Gothic" w:hAnsi="Century Gothic" w:eastAsia="Century Gothic" w:cs="Century Gothic"/>
          <w:b/>
          <w:b/>
        </w:rPr>
      </w:pPr>
      <w:r>
        <w:rPr>
          <w:rFonts w:eastAsia="Century Gothic" w:cs="Century Gothic" w:ascii="Century Gothic" w:hAnsi="Century Gothic"/>
          <w:b/>
        </w:rPr>
        <w:t xml:space="preserve"> </w:t>
      </w:r>
    </w:p>
    <w:tbl>
      <w:tblPr>
        <w:tblStyle w:val="a"/>
        <w:tblW w:w="7576" w:type="dxa"/>
        <w:jc w:val="center"/>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98" w:type="dxa"/>
          <w:bottom w:w="0" w:type="dxa"/>
          <w:right w:w="108" w:type="dxa"/>
        </w:tblCellMar>
        <w:tblLook w:firstRow="0" w:noVBand="1" w:lastRow="0" w:firstColumn="0" w:lastColumn="0" w:noHBand="1" w:val="0600"/>
      </w:tblPr>
      <w:tblGrid>
        <w:gridCol w:w="1476"/>
        <w:gridCol w:w="1468"/>
        <w:gridCol w:w="2328"/>
        <w:gridCol w:w="2303"/>
      </w:tblGrid>
      <w:tr>
        <w:trPr>
          <w:trHeight w:val="990" w:hRule="atLeast"/>
        </w:trPr>
        <w:tc>
          <w:tcPr>
            <w:tcW w:w="1476"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D9D9D9" w:themeFill="background1" w:themeFillShade="d9" w:val="clear"/>
            <w:tcMar>
              <w:left w:w="98" w:type="dxa"/>
            </w:tcMar>
          </w:tcPr>
          <w:p>
            <w:pPr>
              <w:pStyle w:val="Normal"/>
              <w:spacing w:lineRule="auto" w:line="247"/>
              <w:ind w:left="0" w:hanging="2"/>
              <w:jc w:val="center"/>
              <w:rPr/>
            </w:pPr>
            <w:r>
              <w:rPr/>
            </w:r>
          </w:p>
        </w:tc>
        <w:tc>
          <w:tcPr>
            <w:tcW w:w="1468"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100" w:type="dxa"/>
              <w:left w:w="90" w:type="dxa"/>
              <w:bottom w:w="100" w:type="dxa"/>
              <w:right w:w="100" w:type="dxa"/>
            </w:tcMar>
          </w:tcPr>
          <w:p>
            <w:pPr>
              <w:pStyle w:val="Normal"/>
              <w:spacing w:lineRule="auto" w:line="247"/>
              <w:ind w:left="0" w:hanging="2"/>
              <w:jc w:val="center"/>
              <w:rPr>
                <w:rFonts w:ascii="Century Gothic" w:hAnsi="Century Gothic" w:eastAsia="Century Gothic" w:cs="Century Gothic"/>
                <w:b/>
                <w:b/>
                <w:sz w:val="20"/>
                <w:szCs w:val="20"/>
              </w:rPr>
            </w:pPr>
            <w:r>
              <w:rPr>
                <w:color w:val="FF0000"/>
              </w:rPr>
              <w:t>[promotions]</w:t>
            </w:r>
          </w:p>
          <w:p>
            <w:pPr>
              <w:pStyle w:val="Normal"/>
              <w:spacing w:lineRule="auto" w:line="247"/>
              <w:ind w:left="0" w:hanging="2"/>
              <w:jc w:val="center"/>
              <w:rPr>
                <w:rFonts w:ascii="Century Gothic" w:hAnsi="Century Gothic" w:eastAsia="Century Gothic" w:cs="Century Gothic"/>
                <w:sz w:val="20"/>
                <w:szCs w:val="20"/>
              </w:rPr>
            </w:pPr>
            <w:r>
              <w:rPr>
                <w:rFonts w:eastAsia="Century Gothic" w:cs="Century Gothic" w:ascii="Century Gothic" w:hAnsi="Century Gothic"/>
                <w:sz w:val="20"/>
                <w:szCs w:val="20"/>
              </w:rPr>
              <w:t>promotions</w:t>
            </w:r>
          </w:p>
        </w:tc>
        <w:tc>
          <w:tcPr>
            <w:tcW w:w="2328" w:type="dxa"/>
            <w:tcBorders>
              <w:top w:val="single" w:sz="8" w:space="0" w:color="000001"/>
              <w:bottom w:val="single" w:sz="8" w:space="0" w:color="000001"/>
              <w:right w:val="single" w:sz="8" w:space="0" w:color="000001"/>
              <w:insideH w:val="single" w:sz="8" w:space="0" w:color="000001"/>
              <w:insideV w:val="single" w:sz="8" w:space="0" w:color="000001"/>
            </w:tcBorders>
            <w:shd w:fill="auto" w:val="clear"/>
            <w:tcMar>
              <w:top w:w="100" w:type="dxa"/>
              <w:left w:w="100" w:type="dxa"/>
              <w:bottom w:w="100" w:type="dxa"/>
              <w:right w:w="100" w:type="dxa"/>
            </w:tcMar>
          </w:tcPr>
          <w:p>
            <w:pPr>
              <w:pStyle w:val="Normal"/>
              <w:spacing w:lineRule="auto" w:line="276"/>
              <w:ind w:left="0" w:hanging="2"/>
              <w:jc w:val="center"/>
              <w:rPr>
                <w:rFonts w:ascii="Century Gothic" w:hAnsi="Century Gothic" w:eastAsia="Century Gothic" w:cs="Century Gothic"/>
                <w:sz w:val="20"/>
                <w:szCs w:val="20"/>
              </w:rPr>
            </w:pPr>
            <w:r>
              <w:rPr>
                <w:rFonts w:eastAsia="Century Gothic" w:cs="Century Gothic" w:ascii="Century Gothic" w:hAnsi="Century Gothic"/>
                <w:sz w:val="20"/>
                <w:szCs w:val="20"/>
              </w:rPr>
              <w:t>Taux de satisfaction :</w:t>
            </w:r>
          </w:p>
          <w:p>
            <w:pPr>
              <w:pStyle w:val="Normal"/>
              <w:spacing w:lineRule="auto" w:line="247"/>
              <w:ind w:left="0" w:hanging="2"/>
              <w:jc w:val="center"/>
              <w:rPr>
                <w:rFonts w:ascii="Century Gothic" w:hAnsi="Century Gothic" w:eastAsia="Century Gothic" w:cs="Century Gothic"/>
                <w:b/>
                <w:b/>
                <w:sz w:val="20"/>
                <w:szCs w:val="20"/>
              </w:rPr>
            </w:pPr>
            <w:r>
              <w:rPr>
                <w:color w:val="FF0000"/>
              </w:rPr>
              <w:t>[en%]</w:t>
            </w:r>
          </w:p>
        </w:tc>
        <w:tc>
          <w:tcPr>
            <w:tcW w:w="2303" w:type="dxa"/>
            <w:tcBorders>
              <w:top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276"/>
              <w:ind w:left="0" w:hanging="2"/>
              <w:jc w:val="center"/>
              <w:rPr>
                <w:rFonts w:ascii="Century Gothic" w:hAnsi="Century Gothic" w:eastAsia="Century Gothic" w:cs="Century Gothic"/>
                <w:sz w:val="20"/>
                <w:szCs w:val="20"/>
              </w:rPr>
            </w:pPr>
            <w:r>
              <w:rPr>
                <w:rFonts w:eastAsia="Century Gothic" w:cs="Century Gothic" w:ascii="Century Gothic" w:hAnsi="Century Gothic"/>
                <w:sz w:val="20"/>
                <w:szCs w:val="20"/>
              </w:rPr>
              <w:t>Nombre de stagiaire :</w:t>
            </w:r>
          </w:p>
        </w:tc>
      </w:tr>
      <w:tr>
        <w:trPr>
          <w:trHeight w:val="990" w:hRule="atLeast"/>
        </w:trPr>
        <w:tc>
          <w:tcPr>
            <w:tcW w:w="1476"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98" w:type="dxa"/>
            </w:tcMar>
            <w:vAlign w:val="center"/>
          </w:tcPr>
          <w:p>
            <w:pPr>
              <w:pStyle w:val="Normal"/>
              <w:spacing w:lineRule="auto" w:line="247"/>
              <w:ind w:left="0" w:hanging="2"/>
              <w:jc w:val="center"/>
              <w:rPr/>
            </w:pPr>
            <w:r>
              <w:rPr/>
              <w:t>202</w:t>
            </w:r>
            <w:r>
              <w:rPr/>
              <w:t>6</w:t>
            </w:r>
          </w:p>
        </w:tc>
        <w:tc>
          <w:tcPr>
            <w:tcW w:w="1468"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100" w:type="dxa"/>
              <w:left w:w="90" w:type="dxa"/>
              <w:bottom w:w="100" w:type="dxa"/>
              <w:right w:w="100" w:type="dxa"/>
            </w:tcMar>
          </w:tcPr>
          <w:p>
            <w:pPr>
              <w:pStyle w:val="Normal"/>
              <w:spacing w:lineRule="auto" w:line="247"/>
              <w:ind w:left="0" w:hanging="2"/>
              <w:jc w:val="center"/>
              <w:rPr>
                <w:color w:val="FF0000"/>
              </w:rPr>
            </w:pPr>
            <w:r>
              <w:rPr>
                <w:color w:val="FF0000"/>
              </w:rPr>
            </w:r>
          </w:p>
        </w:tc>
        <w:tc>
          <w:tcPr>
            <w:tcW w:w="2328" w:type="dxa"/>
            <w:tcBorders>
              <w:top w:val="single" w:sz="8" w:space="0" w:color="000001"/>
              <w:bottom w:val="single" w:sz="8" w:space="0" w:color="000001"/>
              <w:right w:val="single" w:sz="8" w:space="0" w:color="000001"/>
              <w:insideH w:val="single" w:sz="8" w:space="0" w:color="000001"/>
              <w:insideV w:val="single" w:sz="8" w:space="0" w:color="000001"/>
            </w:tcBorders>
            <w:shd w:fill="auto" w:val="clear"/>
            <w:tcMar>
              <w:top w:w="100" w:type="dxa"/>
              <w:left w:w="100" w:type="dxa"/>
              <w:bottom w:w="100" w:type="dxa"/>
              <w:right w:w="100" w:type="dxa"/>
            </w:tcMar>
          </w:tcPr>
          <w:p>
            <w:pPr>
              <w:pStyle w:val="Normal"/>
              <w:spacing w:lineRule="auto" w:line="276"/>
              <w:ind w:left="0" w:hanging="2"/>
              <w:jc w:val="center"/>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2303" w:type="dxa"/>
            <w:tcBorders>
              <w:top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276"/>
              <w:ind w:left="0" w:hanging="2"/>
              <w:jc w:val="center"/>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990" w:hRule="atLeast"/>
        </w:trPr>
        <w:tc>
          <w:tcPr>
            <w:tcW w:w="1476"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98" w:type="dxa"/>
            </w:tcMar>
            <w:vAlign w:val="center"/>
          </w:tcPr>
          <w:p>
            <w:pPr>
              <w:pStyle w:val="Normal"/>
              <w:spacing w:lineRule="auto" w:line="247"/>
              <w:ind w:left="0" w:hanging="2"/>
              <w:jc w:val="center"/>
              <w:rPr/>
            </w:pPr>
            <w:r>
              <w:rPr/>
              <w:t>202</w:t>
            </w:r>
            <w:r>
              <w:rPr/>
              <w:t>7</w:t>
            </w:r>
          </w:p>
        </w:tc>
        <w:tc>
          <w:tcPr>
            <w:tcW w:w="1468"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100" w:type="dxa"/>
              <w:left w:w="90" w:type="dxa"/>
              <w:bottom w:w="100" w:type="dxa"/>
              <w:right w:w="100" w:type="dxa"/>
            </w:tcMar>
          </w:tcPr>
          <w:p>
            <w:pPr>
              <w:pStyle w:val="Normal"/>
              <w:spacing w:lineRule="auto" w:line="247"/>
              <w:ind w:left="0" w:hanging="2"/>
              <w:jc w:val="center"/>
              <w:rPr>
                <w:color w:val="FF0000"/>
              </w:rPr>
            </w:pPr>
            <w:r>
              <w:rPr>
                <w:color w:val="FF0000"/>
              </w:rPr>
            </w:r>
          </w:p>
        </w:tc>
        <w:tc>
          <w:tcPr>
            <w:tcW w:w="2328" w:type="dxa"/>
            <w:tcBorders>
              <w:top w:val="single" w:sz="8" w:space="0" w:color="000001"/>
              <w:bottom w:val="single" w:sz="8" w:space="0" w:color="000001"/>
              <w:right w:val="single" w:sz="8" w:space="0" w:color="000001"/>
              <w:insideH w:val="single" w:sz="8" w:space="0" w:color="000001"/>
              <w:insideV w:val="single" w:sz="8" w:space="0" w:color="000001"/>
            </w:tcBorders>
            <w:shd w:fill="auto" w:val="clear"/>
            <w:tcMar>
              <w:top w:w="100" w:type="dxa"/>
              <w:left w:w="100" w:type="dxa"/>
              <w:bottom w:w="100" w:type="dxa"/>
              <w:right w:w="100" w:type="dxa"/>
            </w:tcMar>
          </w:tcPr>
          <w:p>
            <w:pPr>
              <w:pStyle w:val="Normal"/>
              <w:spacing w:lineRule="auto" w:line="276"/>
              <w:ind w:left="0" w:hanging="2"/>
              <w:jc w:val="center"/>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2303" w:type="dxa"/>
            <w:tcBorders>
              <w:top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276"/>
              <w:ind w:left="0" w:hanging="2"/>
              <w:jc w:val="center"/>
              <w:rPr>
                <w:rFonts w:ascii="Century Gothic" w:hAnsi="Century Gothic" w:eastAsia="Century Gothic" w:cs="Century Gothic"/>
                <w:sz w:val="20"/>
                <w:szCs w:val="20"/>
              </w:rPr>
            </w:pPr>
            <w:r>
              <w:rPr>
                <w:rFonts w:eastAsia="Century Gothic" w:cs="Century Gothic" w:ascii="Century Gothic" w:hAnsi="Century Gothic"/>
                <w:sz w:val="20"/>
                <w:szCs w:val="20"/>
              </w:rPr>
            </w:r>
          </w:p>
        </w:tc>
      </w:tr>
    </w:tbl>
    <w:p>
      <w:pPr>
        <w:pStyle w:val="Normal"/>
        <w:ind w:left="0" w:hanging="2"/>
        <w:rPr>
          <w:rFonts w:ascii="Century Gothic" w:hAnsi="Century Gothic" w:eastAsia="Century Gothic" w:cs="Century Gothic"/>
          <w:b/>
          <w:b/>
        </w:rPr>
      </w:pPr>
      <w:r>
        <w:rPr>
          <w:rFonts w:eastAsia="Century Gothic" w:cs="Century Gothic" w:ascii="Century Gothic" w:hAnsi="Century Gothic"/>
          <w:b/>
        </w:rPr>
        <w:t xml:space="preserve"> </w:t>
      </w:r>
    </w:p>
    <w:p>
      <w:pPr>
        <w:pStyle w:val="Normal"/>
        <w:ind w:left="0" w:hanging="2"/>
        <w:rPr>
          <w:rFonts w:ascii="Century Gothic" w:hAnsi="Century Gothic" w:eastAsia="Century Gothic" w:cs="Century Gothic"/>
        </w:rPr>
      </w:pPr>
      <w:r>
        <w:rPr>
          <w:rFonts w:eastAsia="Century Gothic" w:cs="Century Gothic" w:ascii="Century Gothic" w:hAnsi="Century Gothic"/>
        </w:rPr>
      </w:r>
    </w:p>
    <w:p>
      <w:pPr>
        <w:pStyle w:val="Normal"/>
        <w:ind w:left="0" w:hanging="2"/>
        <w:rPr>
          <w:rFonts w:ascii="Century Gothic" w:hAnsi="Century Gothic" w:eastAsia="Century Gothic" w:cs="Century Gothic"/>
        </w:rPr>
      </w:pPr>
      <w:r>
        <w:rPr>
          <w:rFonts w:eastAsia="Century Gothic" w:cs="Century Gothic" w:ascii="Century Gothic" w:hAnsi="Century Gothic"/>
        </w:rPr>
      </w:r>
      <w:r>
        <w:br w:type="page"/>
      </w:r>
    </w:p>
    <w:p>
      <w:pPr>
        <w:pStyle w:val="Normal"/>
        <w:ind w:left="0" w:hanging="2"/>
        <w:rPr/>
      </w:pPr>
      <w:r>
        <w:rPr/>
      </w:r>
    </w:p>
    <w:p>
      <w:pPr>
        <w:pStyle w:val="Normal"/>
        <w:ind w:left="1" w:hanging="3"/>
        <w:jc w:val="center"/>
        <w:rPr>
          <w:rFonts w:ascii="Century Gothic" w:hAnsi="Century Gothic" w:eastAsia="Century Gothic" w:cs="Century Gothic"/>
          <w:color w:val="000000"/>
          <w:sz w:val="32"/>
          <w:szCs w:val="32"/>
        </w:rPr>
      </w:pPr>
      <w:r>
        <w:rPr>
          <w:rFonts w:eastAsia="Century Gothic" w:cs="Century Gothic" w:ascii="Century Gothic" w:hAnsi="Century Gothic"/>
          <w:b/>
          <w:color w:val="000000"/>
          <w:sz w:val="32"/>
          <w:szCs w:val="32"/>
        </w:rPr>
        <w:t xml:space="preserve">« </w:t>
      </w:r>
      <w:sdt>
        <w:sdtPr>
          <w:id w:val="1817770134"/>
        </w:sdtPr>
        <w:sdtContent>
          <w:r>
            <w:rPr>
              <w:rFonts w:eastAsia="Century Gothic" w:cs="Century Gothic" w:ascii="Century Gothic" w:hAnsi="Century Gothic"/>
              <w:b/>
              <w:color w:val="000000"/>
              <w:sz w:val="32"/>
              <w:szCs w:val="32"/>
            </w:rPr>
            <w:t>Animer des ateliers de philosophie pour enfants et adolescents</w:t>
          </w:r>
        </w:sdtContent>
      </w:sdt>
      <w:r>
        <w:rPr>
          <w:rFonts w:eastAsia="Century Gothic" w:cs="Century Gothic" w:ascii="Century Gothic" w:hAnsi="Century Gothic"/>
          <w:color w:val="000000"/>
          <w:sz w:val="32"/>
          <w:szCs w:val="32"/>
        </w:rPr>
        <w:t xml:space="preserve"> </w:t>
      </w:r>
      <w:r>
        <w:rPr>
          <w:rFonts w:eastAsia="Century Gothic" w:cs="Century Gothic" w:ascii="Century Gothic" w:hAnsi="Century Gothic"/>
          <w:b/>
          <w:color w:val="000000"/>
          <w:sz w:val="32"/>
          <w:szCs w:val="32"/>
        </w:rPr>
        <w:t>»</w:t>
      </w:r>
    </w:p>
    <w:p>
      <w:pPr>
        <w:pStyle w:val="Normal"/>
        <w:ind w:left="0" w:hanging="2"/>
        <w:rPr>
          <w:rFonts w:ascii="Century Gothic" w:hAnsi="Century Gothic" w:eastAsia="Century Gothic" w:cs="Century Gothic"/>
        </w:rPr>
      </w:pPr>
      <w:r>
        <w:rPr>
          <w:rFonts w:eastAsia="Century Gothic" w:cs="Century Gothic" w:ascii="Century Gothic" w:hAnsi="Century Gothic"/>
        </w:rPr>
      </w:r>
    </w:p>
    <w:p>
      <w:pPr>
        <w:pStyle w:val="Normal"/>
        <w:pBdr/>
        <w:spacing w:before="0" w:after="200"/>
        <w:ind w:left="1" w:hanging="3"/>
        <w:jc w:val="center"/>
        <w:rPr>
          <w:rFonts w:ascii="Century Gothic" w:hAnsi="Century Gothic" w:eastAsia="Century Gothic" w:cs="Century Gothic"/>
          <w:color w:val="000000"/>
          <w:sz w:val="26"/>
          <w:szCs w:val="26"/>
        </w:rPr>
      </w:pPr>
      <w:r>
        <w:rPr>
          <w:rFonts w:eastAsia="Century Gothic" w:cs="Century Gothic" w:ascii="Century Gothic" w:hAnsi="Century Gothic"/>
          <w:b/>
          <w:color w:val="000000"/>
          <w:sz w:val="26"/>
          <w:szCs w:val="26"/>
        </w:rPr>
        <w:t>PROGRAMME DE FORMATION DETAILLE </w:t>
      </w:r>
    </w:p>
    <w:p>
      <w:pPr>
        <w:pStyle w:val="Normal"/>
        <w:ind w:left="0" w:hanging="2"/>
        <w:rPr>
          <w:rFonts w:ascii="Century Gothic" w:hAnsi="Century Gothic" w:eastAsia="Century Gothic" w:cs="Century Gothic"/>
        </w:rPr>
      </w:pPr>
      <w:r>
        <w:rPr>
          <w:rFonts w:eastAsia="Century Gothic" w:cs="Century Gothic" w:ascii="Century Gothic" w:hAnsi="Century Gothic"/>
        </w:rPr>
      </w:r>
    </w:p>
    <w:p>
      <w:pPr>
        <w:pStyle w:val="Normal"/>
        <w:ind w:left="0" w:hanging="2"/>
        <w:rPr>
          <w:rFonts w:ascii="Century Gothic" w:hAnsi="Century Gothic" w:eastAsia="Century Gothic" w:cs="Century Gothic"/>
        </w:rPr>
      </w:pPr>
      <w:r>
        <w:rPr>
          <w:rFonts w:eastAsia="Century Gothic" w:cs="Century Gothic" w:ascii="Century Gothic" w:hAnsi="Century Gothic"/>
        </w:rPr>
      </w:r>
    </w:p>
    <w:p>
      <w:pPr>
        <w:pStyle w:val="Normal"/>
        <w:widowControl/>
        <w:spacing w:lineRule="auto" w:line="240" w:before="0" w:after="0"/>
        <w:ind w:left="0" w:right="0" w:hanging="1"/>
        <w:jc w:val="left"/>
        <w:rPr/>
      </w:pPr>
      <w:r>
        <w:rPr>
          <w:rFonts w:eastAsia="Century Gothic" w:cs="Century Gothic" w:ascii="Century Gothic" w:hAnsi="Century Gothic"/>
          <w:b/>
          <w:bCs/>
          <w:color w:val="000000"/>
          <w:sz w:val="21"/>
          <w:szCs w:val="21"/>
        </w:rPr>
        <w:t>MODULE 1 :</w:t>
      </w:r>
      <w:r>
        <w:rPr>
          <w:rFonts w:eastAsia="Century Gothic" w:cs="Century Gothic" w:ascii="Century Gothic" w:hAnsi="Century Gothic"/>
          <w:color w:val="000000"/>
          <w:sz w:val="21"/>
          <w:szCs w:val="21"/>
        </w:rPr>
        <w:t xml:space="preserve"> Introduction à la philosophie pour enfants</w:t>
      </w:r>
      <w:r>
        <w:rPr>
          <w:rFonts w:eastAsia="Century Gothic" w:cs="Century Gothic" w:ascii="Century Gothic" w:hAnsi="Century Gothic"/>
          <w:b/>
          <w:bCs/>
          <w:color w:val="000000"/>
          <w:sz w:val="21"/>
          <w:szCs w:val="21"/>
        </w:rPr>
        <w:br/>
        <w:t>Durée :</w:t>
      </w:r>
      <w:r>
        <w:rPr>
          <w:rFonts w:eastAsia="Century Gothic" w:cs="Century Gothic" w:ascii="Century Gothic" w:hAnsi="Century Gothic"/>
          <w:color w:val="000000"/>
          <w:sz w:val="21"/>
          <w:szCs w:val="21"/>
        </w:rPr>
        <w:t xml:space="preserve"> 7 heures : 5 h en autonomie + 2 h en visioconférence</w:t>
      </w:r>
      <w:r>
        <w:rPr>
          <w:rFonts w:eastAsia="Century Gothic" w:cs="Century Gothic" w:ascii="Century Gothic" w:hAnsi="Century Gothic"/>
          <w:b/>
          <w:bCs/>
          <w:color w:val="000000"/>
          <w:sz w:val="21"/>
          <w:szCs w:val="21"/>
        </w:rPr>
        <w:br/>
        <w:t>Objectif :</w:t>
      </w:r>
      <w:r>
        <w:rPr>
          <w:rFonts w:eastAsia="Century Gothic" w:cs="Century Gothic" w:ascii="Century Gothic" w:hAnsi="Century Gothic"/>
          <w:color w:val="000000"/>
          <w:sz w:val="21"/>
          <w:szCs w:val="21"/>
        </w:rPr>
        <w:t xml:space="preserve"> Identifier les fondements de la philosophie pour enfants, distinguer les principales méthodes d’animation et mettre en place un cadre favorisant la réflexion et la participation des enfants et adolescents.</w:t>
        <w:br/>
        <w:t>Chapitre 1 : Origine et fondements</w:t>
        <w:br/>
        <w:t>Chapitre 2 : Identifier les différentes méthodes d’animatio</w:t>
        <w:br/>
        <w:t>Chapitre 3 : Découvrir la Discussion à Visée Démocratique et Philosophique (DVDP)</w:t>
        <w:br/>
        <w:t>Chapitre 4 : La démarche interprétative</w:t>
        <w:br/>
        <w:t>Chapitre 5 : Utiliser la littérature jeunesse comme support de réflexion</w:t>
        <w:br/>
        <w:t>Chapitre 6 : Penser la trace écrite de l’atelier philosophique</w:t>
        <w:br/>
        <w:t>Chapitre 7 : Construire sa légitimité comme animateur d’ateliers philosophiques</w:t>
        <w:br/>
        <w:t>Chapitre 8 : Visio 1 : mise en place du cadre et des conditions de possibilité du philosopher</w:t>
        <w:br/>
        <w:t>Chapitre 9 : Quiz de validation du module 1</w:t>
        <w:br/>
      </w:r>
    </w:p>
    <w:p>
      <w:pPr>
        <w:pStyle w:val="Normal"/>
        <w:widowControl/>
        <w:spacing w:lineRule="auto" w:line="240" w:before="210" w:after="210"/>
        <w:ind w:left="0" w:right="0" w:hanging="1"/>
        <w:jc w:val="left"/>
        <w:rPr/>
      </w:pPr>
      <w:r>
        <w:rPr>
          <w:rFonts w:eastAsia="Century Gothic" w:cs="Century Gothic" w:ascii="Century Gothic" w:hAnsi="Century Gothic"/>
          <w:color w:val="000000"/>
          <w:sz w:val="21"/>
          <w:szCs w:val="21"/>
        </w:rPr>
        <w:t>...</w:t>
        <w:br/>
        <w:t>Évaluation Module 1</w:t>
      </w:r>
    </w:p>
    <w:p>
      <w:pPr>
        <w:pStyle w:val="Normal"/>
        <w:widowControl/>
        <w:spacing w:lineRule="auto" w:line="240" w:before="0" w:after="0"/>
        <w:ind w:left="0" w:right="0" w:hanging="1"/>
        <w:jc w:val="left"/>
        <w:rPr/>
      </w:pPr>
      <w:r>
        <w:rPr>
          <w:rFonts w:eastAsia="Century Gothic" w:cs="Century Gothic" w:ascii="Century Gothic" w:hAnsi="Century Gothic"/>
          <w:b/>
          <w:bCs/>
          <w:color w:val="000000"/>
          <w:sz w:val="21"/>
          <w:szCs w:val="21"/>
        </w:rPr>
        <w:t>MODULE 2 :</w:t>
      </w:r>
      <w:r>
        <w:rPr>
          <w:rFonts w:eastAsia="Century Gothic" w:cs="Century Gothic" w:ascii="Century Gothic" w:hAnsi="Century Gothic"/>
          <w:color w:val="000000"/>
          <w:sz w:val="21"/>
          <w:szCs w:val="21"/>
        </w:rPr>
        <w:t xml:space="preserve"> Garantir la philosophie des ateliers</w:t>
      </w:r>
      <w:r>
        <w:rPr>
          <w:rFonts w:eastAsia="Century Gothic" w:cs="Century Gothic" w:ascii="Century Gothic" w:hAnsi="Century Gothic"/>
          <w:b/>
          <w:bCs/>
          <w:color w:val="000000"/>
          <w:sz w:val="21"/>
          <w:szCs w:val="21"/>
        </w:rPr>
        <w:br/>
        <w:t>Durée :</w:t>
      </w:r>
      <w:r>
        <w:rPr>
          <w:rFonts w:eastAsia="Century Gothic" w:cs="Century Gothic" w:ascii="Century Gothic" w:hAnsi="Century Gothic"/>
          <w:color w:val="000000"/>
          <w:sz w:val="21"/>
          <w:szCs w:val="21"/>
        </w:rPr>
        <w:t xml:space="preserve"> 3 heures : 1 h en autonomie + 2 h en visioconférence</w:t>
      </w:r>
      <w:r>
        <w:rPr>
          <w:rFonts w:eastAsia="Century Gothic" w:cs="Century Gothic" w:ascii="Century Gothic" w:hAnsi="Century Gothic"/>
          <w:b/>
          <w:bCs/>
          <w:color w:val="000000"/>
          <w:sz w:val="21"/>
          <w:szCs w:val="21"/>
        </w:rPr>
        <w:br/>
        <w:t>Objectif :</w:t>
      </w:r>
      <w:r>
        <w:rPr>
          <w:rFonts w:eastAsia="Century Gothic" w:cs="Century Gothic" w:ascii="Century Gothic" w:hAnsi="Century Gothic"/>
          <w:color w:val="000000"/>
          <w:sz w:val="21"/>
          <w:szCs w:val="21"/>
        </w:rPr>
        <w:t xml:space="preserve"> Identifier les critères permettant de garantir la dimension philosophique d’un atelier, ajuster sa posture d’animateur et formuler des questions favorisant une réflexion philosophique.</w:t>
        <w:br/>
        <w:t>Chapitre 1 : Identifier la posture de l’enfant et de l’adulte</w:t>
        <w:br/>
        <w:t>Chapitre 2 : Identifier les habiletés de l’animateur</w:t>
        <w:br/>
        <w:t>Chapitre 3 : Identifier les erreurs de l’animateur</w:t>
        <w:br/>
        <w:t>Chapitre 4 : Visio 2 : garantir l’aspect philosophique des ateliers</w:t>
        <w:br/>
        <w:t>Chapitre 5 : Poser et formuler des questions philosophiques</w:t>
        <w:br/>
        <w:t>Chapitre 6 : Analyse d’ateliers philosophiques</w:t>
        <w:br/>
        <w:t>Chapitre 7 : Quiz de validation du module 2</w:t>
        <w:br/>
      </w:r>
    </w:p>
    <w:p>
      <w:pPr>
        <w:pStyle w:val="Normal"/>
        <w:widowControl/>
        <w:spacing w:lineRule="auto" w:line="240" w:before="210" w:after="210"/>
        <w:ind w:left="0" w:right="0" w:hanging="1"/>
        <w:jc w:val="left"/>
        <w:rPr/>
      </w:pPr>
      <w:r>
        <w:rPr>
          <w:rFonts w:eastAsia="Century Gothic" w:cs="Century Gothic" w:ascii="Century Gothic" w:hAnsi="Century Gothic"/>
          <w:color w:val="000000"/>
          <w:sz w:val="21"/>
          <w:szCs w:val="21"/>
        </w:rPr>
        <w:t>...</w:t>
        <w:br/>
        <w:t>Évaluation Module 2</w:t>
      </w:r>
    </w:p>
    <w:p>
      <w:pPr>
        <w:pStyle w:val="Normal"/>
        <w:widowControl/>
        <w:spacing w:lineRule="auto" w:line="240" w:before="0" w:after="0"/>
        <w:ind w:left="0" w:right="0" w:hanging="1"/>
        <w:jc w:val="left"/>
        <w:rPr/>
      </w:pPr>
      <w:r>
        <w:rPr>
          <w:rFonts w:eastAsia="Century Gothic" w:cs="Century Gothic" w:ascii="Century Gothic" w:hAnsi="Century Gothic"/>
          <w:b/>
          <w:bCs/>
          <w:color w:val="000000"/>
          <w:sz w:val="21"/>
          <w:szCs w:val="21"/>
        </w:rPr>
        <w:t>MODULE 3 :</w:t>
      </w:r>
      <w:r>
        <w:rPr>
          <w:rFonts w:eastAsia="Century Gothic" w:cs="Century Gothic" w:ascii="Century Gothic" w:hAnsi="Century Gothic"/>
          <w:color w:val="000000"/>
          <w:sz w:val="21"/>
          <w:szCs w:val="21"/>
        </w:rPr>
        <w:t xml:space="preserve"> Les supports d’animation philosophique</w:t>
      </w:r>
      <w:r>
        <w:rPr>
          <w:rFonts w:eastAsia="Century Gothic" w:cs="Century Gothic" w:ascii="Century Gothic" w:hAnsi="Century Gothic"/>
          <w:b/>
          <w:bCs/>
          <w:color w:val="000000"/>
          <w:sz w:val="21"/>
          <w:szCs w:val="21"/>
        </w:rPr>
        <w:br/>
        <w:t>Durée :</w:t>
      </w:r>
      <w:r>
        <w:rPr>
          <w:rFonts w:eastAsia="Century Gothic" w:cs="Century Gothic" w:ascii="Century Gothic" w:hAnsi="Century Gothic"/>
          <w:color w:val="000000"/>
          <w:sz w:val="21"/>
          <w:szCs w:val="21"/>
        </w:rPr>
        <w:t xml:space="preserve"> 3 heures 30, en autonomie</w:t>
      </w:r>
      <w:r>
        <w:rPr>
          <w:rFonts w:eastAsia="Century Gothic" w:cs="Century Gothic" w:ascii="Century Gothic" w:hAnsi="Century Gothic"/>
          <w:b/>
          <w:bCs/>
          <w:color w:val="000000"/>
          <w:sz w:val="21"/>
          <w:szCs w:val="21"/>
        </w:rPr>
        <w:br/>
        <w:t>Objectif :</w:t>
      </w:r>
      <w:r>
        <w:rPr>
          <w:rFonts w:eastAsia="Century Gothic" w:cs="Century Gothic" w:ascii="Century Gothic" w:hAnsi="Century Gothic"/>
          <w:color w:val="000000"/>
          <w:sz w:val="21"/>
          <w:szCs w:val="21"/>
        </w:rPr>
        <w:t xml:space="preserve"> Sélectionner un support d’animation adapté à son objectif pédagogique et l’exploiter pour faire émerger et approfondir une réflexion philosophique avec les enfants et adolescents.</w:t>
        <w:br/>
        <w:t>Chapitre 1 : Utiliser la littérature jeunesse comme support philosophique</w:t>
        <w:br/>
        <w:t>Chapitre 2 : Exploiter la métaphore et l’allégorie</w:t>
        <w:br/>
        <w:t>Chapitre 3 : Utiliser le court métrage</w:t>
        <w:br/>
        <w:t>Chapitre 4 : Utiliser l’expérience de pensée</w:t>
        <w:br/>
        <w:t>Chapitre 5 : Utiliser le dilemme moral</w:t>
        <w:br/>
        <w:t>Chapitre 6 : Utiliser le jeu comme support de réflexion</w:t>
        <w:br/>
        <w:t>Chapitre 7 : Utiliser le photolangage</w:t>
        <w:br/>
        <w:t>Chapitre 8 : Utiliser le portrait chinois</w:t>
        <w:br/>
        <w:t>Chapitre 9 : Diversifier les activités philosophiques</w:t>
        <w:br/>
        <w:t>Chapitre 10 : Trois nouvelles activités ludiques</w:t>
        <w:br/>
        <w:t>Chapitre 11 : Quiz de validation du module 3</w:t>
        <w:br/>
      </w:r>
    </w:p>
    <w:p>
      <w:pPr>
        <w:pStyle w:val="Normal"/>
        <w:widowControl/>
        <w:spacing w:lineRule="auto" w:line="240" w:before="210" w:after="210"/>
        <w:ind w:left="0" w:right="0" w:hanging="1"/>
        <w:jc w:val="left"/>
        <w:rPr/>
      </w:pPr>
      <w:r>
        <w:rPr>
          <w:rFonts w:eastAsia="Century Gothic" w:cs="Century Gothic" w:ascii="Century Gothic" w:hAnsi="Century Gothic"/>
          <w:color w:val="000000"/>
          <w:sz w:val="21"/>
          <w:szCs w:val="21"/>
        </w:rPr>
        <w:t>...</w:t>
        <w:br/>
        <w:t>Évaluation Module 3</w:t>
      </w:r>
    </w:p>
    <w:p>
      <w:pPr>
        <w:pStyle w:val="Normal"/>
        <w:widowControl/>
        <w:spacing w:lineRule="auto" w:line="240" w:before="0" w:after="0"/>
        <w:ind w:left="0" w:right="0" w:hanging="1"/>
        <w:jc w:val="left"/>
        <w:rPr/>
      </w:pPr>
      <w:r>
        <w:rPr>
          <w:rFonts w:eastAsia="Century Gothic" w:cs="Century Gothic" w:ascii="Century Gothic" w:hAnsi="Century Gothic"/>
          <w:b/>
          <w:bCs/>
          <w:color w:val="000000"/>
          <w:sz w:val="21"/>
          <w:szCs w:val="21"/>
        </w:rPr>
        <w:t>MODULE 4 :</w:t>
      </w:r>
      <w:r>
        <w:rPr>
          <w:rFonts w:eastAsia="Century Gothic" w:cs="Century Gothic" w:ascii="Century Gothic" w:hAnsi="Century Gothic"/>
          <w:color w:val="000000"/>
          <w:sz w:val="21"/>
          <w:szCs w:val="21"/>
        </w:rPr>
        <w:t xml:space="preserve"> Les présupposés</w:t>
      </w:r>
      <w:r>
        <w:rPr>
          <w:rFonts w:eastAsia="Century Gothic" w:cs="Century Gothic" w:ascii="Century Gothic" w:hAnsi="Century Gothic"/>
          <w:b/>
          <w:bCs/>
          <w:color w:val="000000"/>
          <w:sz w:val="21"/>
          <w:szCs w:val="21"/>
        </w:rPr>
        <w:br/>
        <w:t>Durée :</w:t>
      </w:r>
      <w:r>
        <w:rPr>
          <w:rFonts w:eastAsia="Century Gothic" w:cs="Century Gothic" w:ascii="Century Gothic" w:hAnsi="Century Gothic"/>
          <w:color w:val="000000"/>
          <w:sz w:val="21"/>
          <w:szCs w:val="21"/>
        </w:rPr>
        <w:t xml:space="preserve"> 2 heures 15 : 15 min en autonomie + 2 h en visioconférence</w:t>
      </w:r>
      <w:r>
        <w:rPr>
          <w:rFonts w:eastAsia="Century Gothic" w:cs="Century Gothic" w:ascii="Century Gothic" w:hAnsi="Century Gothic"/>
          <w:b/>
          <w:bCs/>
          <w:color w:val="000000"/>
          <w:sz w:val="21"/>
          <w:szCs w:val="21"/>
        </w:rPr>
        <w:br/>
        <w:t>Objectif :</w:t>
      </w:r>
      <w:r>
        <w:rPr>
          <w:rFonts w:eastAsia="Century Gothic" w:cs="Century Gothic" w:ascii="Century Gothic" w:hAnsi="Century Gothic"/>
          <w:color w:val="000000"/>
          <w:sz w:val="21"/>
          <w:szCs w:val="21"/>
        </w:rPr>
        <w:t xml:space="preserve"> Repérer les présupposés contenus dans une affirmation et construire un questionnement permettant de les examiner afin d’approfondir la réflexion philosophique.</w:t>
        <w:br/>
        <w:t>Chapitre 1 : Identifier les hypothèses</w:t>
        <w:br/>
        <w:t>Chapitre 2 : Identifier les présupposés</w:t>
        <w:br/>
        <w:t>Chapitre 3 : Repérer les présupposés et les questionner</w:t>
        <w:br/>
        <w:t>Chapitre 4 : Visio 3 : les présupposés</w:t>
        <w:br/>
        <w:t>Chapitre 5 : Mise en pratique avec un album jeunesse</w:t>
        <w:br/>
        <w:t>Chapitre 6 : Quiz de validation du module 4</w:t>
        <w:br/>
      </w:r>
    </w:p>
    <w:p>
      <w:pPr>
        <w:pStyle w:val="Normal"/>
        <w:widowControl/>
        <w:spacing w:lineRule="auto" w:line="240" w:before="210" w:after="210"/>
        <w:ind w:left="0" w:right="0" w:hanging="1"/>
        <w:jc w:val="left"/>
        <w:rPr/>
      </w:pPr>
      <w:r>
        <w:rPr>
          <w:rFonts w:eastAsia="Century Gothic" w:cs="Century Gothic" w:ascii="Century Gothic" w:hAnsi="Century Gothic"/>
          <w:color w:val="000000"/>
          <w:sz w:val="21"/>
          <w:szCs w:val="21"/>
        </w:rPr>
        <w:t>...</w:t>
        <w:br/>
        <w:t>Évaluation Module 4</w:t>
      </w:r>
    </w:p>
    <w:p>
      <w:pPr>
        <w:pStyle w:val="Normal"/>
        <w:widowControl/>
        <w:spacing w:lineRule="auto" w:line="240" w:before="0" w:after="0"/>
        <w:ind w:left="0" w:right="0" w:hanging="1"/>
        <w:jc w:val="left"/>
        <w:rPr/>
      </w:pPr>
      <w:r>
        <w:rPr>
          <w:rFonts w:eastAsia="Century Gothic" w:cs="Century Gothic" w:ascii="Century Gothic" w:hAnsi="Century Gothic"/>
          <w:b/>
          <w:bCs/>
          <w:color w:val="000000"/>
          <w:sz w:val="21"/>
          <w:szCs w:val="21"/>
        </w:rPr>
        <w:t>MODULE 5 :</w:t>
      </w:r>
      <w:r>
        <w:rPr>
          <w:rFonts w:eastAsia="Century Gothic" w:cs="Century Gothic" w:ascii="Century Gothic" w:hAnsi="Century Gothic"/>
          <w:color w:val="000000"/>
          <w:sz w:val="21"/>
          <w:szCs w:val="21"/>
        </w:rPr>
        <w:t xml:space="preserve"> Développer les premières habiletés de pensée</w:t>
      </w:r>
      <w:r>
        <w:rPr>
          <w:rFonts w:eastAsia="Century Gothic" w:cs="Century Gothic" w:ascii="Century Gothic" w:hAnsi="Century Gothic"/>
          <w:b/>
          <w:bCs/>
          <w:color w:val="000000"/>
          <w:sz w:val="21"/>
          <w:szCs w:val="21"/>
        </w:rPr>
        <w:br/>
        <w:t>Durée :</w:t>
      </w:r>
      <w:r>
        <w:rPr>
          <w:rFonts w:eastAsia="Century Gothic" w:cs="Century Gothic" w:ascii="Century Gothic" w:hAnsi="Century Gothic"/>
          <w:color w:val="000000"/>
          <w:sz w:val="21"/>
          <w:szCs w:val="21"/>
        </w:rPr>
        <w:t xml:space="preserve"> 3 heures 40 : 1 h 40 en autonomie + 2 h en visioconférence</w:t>
      </w:r>
      <w:r>
        <w:rPr>
          <w:rFonts w:eastAsia="Century Gothic" w:cs="Century Gothic" w:ascii="Century Gothic" w:hAnsi="Century Gothic"/>
          <w:b/>
          <w:bCs/>
          <w:color w:val="000000"/>
          <w:sz w:val="21"/>
          <w:szCs w:val="21"/>
        </w:rPr>
        <w:br/>
        <w:t>Objectif :</w:t>
      </w:r>
      <w:r>
        <w:rPr>
          <w:rFonts w:eastAsia="Century Gothic" w:cs="Century Gothic" w:ascii="Century Gothic" w:hAnsi="Century Gothic"/>
          <w:color w:val="000000"/>
          <w:sz w:val="21"/>
          <w:szCs w:val="21"/>
        </w:rPr>
        <w:t xml:space="preserve"> Identifier et mobiliser différentes habiletés de pensée afin de construire des activités permettant aux participants de définir, distinguer, construire des critères, comparer, catégoriser et conceptualiser.</w:t>
        <w:br/>
        <w:t>Chapitre 1 : Comprendre ce que sont les habiletés de pensée</w:t>
        <w:br/>
        <w:t>Chapitre 2 : Définir, construire des critères et distinguer</w:t>
        <w:br/>
        <w:t>Chapitre 3 : Organiser, catégoriser et comparer</w:t>
        <w:br/>
        <w:t>Chapitre 4 : Conceptualiser</w:t>
        <w:br/>
        <w:t>Chapitre 5 : Observer la conceptualisation en pratique</w:t>
        <w:br/>
        <w:t>Chapitre 6 : Visio 4 : conceptualiser – mise en pratique et construction d’un support</w:t>
        <w:br/>
        <w:t>Chapitre 7 : Quiz de validation du module 5</w:t>
        <w:br/>
      </w:r>
    </w:p>
    <w:p>
      <w:pPr>
        <w:pStyle w:val="Normal"/>
        <w:widowControl/>
        <w:spacing w:lineRule="auto" w:line="240" w:before="210" w:after="210"/>
        <w:ind w:left="0" w:right="0" w:hanging="1"/>
        <w:jc w:val="left"/>
        <w:rPr/>
      </w:pPr>
      <w:r>
        <w:rPr>
          <w:rFonts w:eastAsia="Century Gothic" w:cs="Century Gothic" w:ascii="Century Gothic" w:hAnsi="Century Gothic"/>
          <w:color w:val="000000"/>
          <w:sz w:val="21"/>
          <w:szCs w:val="21"/>
        </w:rPr>
        <w:t>...</w:t>
        <w:br/>
        <w:t>Évaluation Module 5</w:t>
      </w:r>
    </w:p>
    <w:p>
      <w:pPr>
        <w:pStyle w:val="Normal"/>
        <w:widowControl/>
        <w:spacing w:lineRule="auto" w:line="240" w:before="0" w:after="0"/>
        <w:ind w:left="0" w:right="0" w:hanging="1"/>
        <w:jc w:val="left"/>
        <w:rPr/>
      </w:pPr>
      <w:r>
        <w:rPr>
          <w:rFonts w:eastAsia="Century Gothic" w:cs="Century Gothic" w:ascii="Century Gothic" w:hAnsi="Century Gothic"/>
          <w:b/>
          <w:bCs/>
          <w:color w:val="000000"/>
          <w:sz w:val="21"/>
          <w:szCs w:val="21"/>
        </w:rPr>
        <w:t>MODULE 6 :</w:t>
      </w:r>
      <w:r>
        <w:rPr>
          <w:rFonts w:eastAsia="Century Gothic" w:cs="Century Gothic" w:ascii="Century Gothic" w:hAnsi="Century Gothic"/>
          <w:color w:val="000000"/>
          <w:sz w:val="21"/>
          <w:szCs w:val="21"/>
        </w:rPr>
        <w:t xml:space="preserve"> Aider les participants à raisonner</w:t>
      </w:r>
      <w:r>
        <w:rPr>
          <w:rFonts w:eastAsia="Century Gothic" w:cs="Century Gothic" w:ascii="Century Gothic" w:hAnsi="Century Gothic"/>
          <w:b/>
          <w:bCs/>
          <w:color w:val="000000"/>
          <w:sz w:val="21"/>
          <w:szCs w:val="21"/>
        </w:rPr>
        <w:br/>
        <w:t>Durée :</w:t>
      </w:r>
      <w:r>
        <w:rPr>
          <w:rFonts w:eastAsia="Century Gothic" w:cs="Century Gothic" w:ascii="Century Gothic" w:hAnsi="Century Gothic"/>
          <w:color w:val="000000"/>
          <w:sz w:val="21"/>
          <w:szCs w:val="21"/>
        </w:rPr>
        <w:t xml:space="preserve"> 5 heures 25 : 1 h 25 en autonomie + 4 h en visioconférence</w:t>
      </w:r>
      <w:r>
        <w:rPr>
          <w:rFonts w:eastAsia="Century Gothic" w:cs="Century Gothic" w:ascii="Century Gothic" w:hAnsi="Century Gothic"/>
          <w:b/>
          <w:bCs/>
          <w:color w:val="000000"/>
          <w:sz w:val="21"/>
          <w:szCs w:val="21"/>
        </w:rPr>
        <w:br/>
        <w:t>Objectif :</w:t>
      </w:r>
      <w:r>
        <w:rPr>
          <w:rFonts w:eastAsia="Century Gothic" w:cs="Century Gothic" w:ascii="Century Gothic" w:hAnsi="Century Gothic"/>
          <w:color w:val="000000"/>
          <w:sz w:val="21"/>
          <w:szCs w:val="21"/>
        </w:rPr>
        <w:t xml:space="preserve"> Accompagner les participants dans la construction et l’examen de leur raisonnement en mobilisant les habiletés liées à l’argumentation, à la justification, à la pensée réflexive et à la problématisation.</w:t>
        <w:br/>
        <w:t>Chapitre 1 : Construire un argument</w:t>
        <w:br/>
        <w:t>Chapitre 2 : Donner des exemples</w:t>
        <w:br/>
        <w:t>Chapitre 3 : Préciser et clarifier sa pensée</w:t>
        <w:br/>
        <w:t>Chapitre 4 : Donner des raisons, juger et examiner les conséquences</w:t>
        <w:br/>
        <w:t>Chapitre 5 : Développer la pensée réflexive</w:t>
        <w:br/>
        <w:t>Chapitre 6 : Raisonner</w:t>
        <w:br/>
        <w:t>Chapitre 7 : Problématiser</w:t>
        <w:br/>
        <w:t>Chapitre 8 : Visio 5 : le chemin de la pensée – apprendre à raisonner</w:t>
        <w:br/>
        <w:t>Chapitre 9 : Visio 6 : problématiser avec le dilemme</w:t>
        <w:br/>
        <w:t>Chapitre 10 : Quiz de validation du module 6</w:t>
        <w:br/>
      </w:r>
    </w:p>
    <w:p>
      <w:pPr>
        <w:pStyle w:val="Normal"/>
        <w:widowControl/>
        <w:spacing w:lineRule="auto" w:line="240" w:before="210" w:after="210"/>
        <w:ind w:left="0" w:right="0" w:hanging="1"/>
        <w:jc w:val="left"/>
        <w:rPr/>
      </w:pPr>
      <w:r>
        <w:rPr>
          <w:rFonts w:eastAsia="Century Gothic" w:cs="Century Gothic" w:ascii="Century Gothic" w:hAnsi="Century Gothic"/>
          <w:color w:val="000000"/>
          <w:sz w:val="21"/>
          <w:szCs w:val="21"/>
        </w:rPr>
        <w:t>...</w:t>
        <w:br/>
        <w:t>Évaluation Module 6</w:t>
      </w:r>
    </w:p>
    <w:p>
      <w:pPr>
        <w:pStyle w:val="Normal"/>
        <w:widowControl/>
        <w:spacing w:lineRule="auto" w:line="240" w:before="0" w:after="0"/>
        <w:ind w:left="0" w:right="0" w:hanging="1"/>
        <w:jc w:val="left"/>
        <w:rPr/>
      </w:pPr>
      <w:r>
        <w:rPr>
          <w:rFonts w:eastAsia="Century Gothic" w:cs="Century Gothic" w:ascii="Century Gothic" w:hAnsi="Century Gothic"/>
          <w:b/>
          <w:bCs/>
          <w:color w:val="000000"/>
          <w:sz w:val="21"/>
          <w:szCs w:val="21"/>
        </w:rPr>
        <w:t>MODULE 7 :</w:t>
      </w:r>
      <w:r>
        <w:rPr>
          <w:rFonts w:eastAsia="Century Gothic" w:cs="Century Gothic" w:ascii="Century Gothic" w:hAnsi="Century Gothic"/>
          <w:color w:val="000000"/>
          <w:sz w:val="21"/>
          <w:szCs w:val="21"/>
        </w:rPr>
        <w:t xml:space="preserve"> Monter une séquence philosophique cohérente</w:t>
      </w:r>
      <w:r>
        <w:rPr>
          <w:rFonts w:eastAsia="Century Gothic" w:cs="Century Gothic" w:ascii="Century Gothic" w:hAnsi="Century Gothic"/>
          <w:b/>
          <w:bCs/>
          <w:color w:val="000000"/>
          <w:sz w:val="21"/>
          <w:szCs w:val="21"/>
        </w:rPr>
        <w:br/>
        <w:t>Durée :</w:t>
      </w:r>
      <w:r>
        <w:rPr>
          <w:rFonts w:eastAsia="Century Gothic" w:cs="Century Gothic" w:ascii="Century Gothic" w:hAnsi="Century Gothic"/>
          <w:color w:val="000000"/>
          <w:sz w:val="21"/>
          <w:szCs w:val="21"/>
        </w:rPr>
        <w:t xml:space="preserve"> 4 heures : 2 h en autonomie + 2 h en visioconférence</w:t>
      </w:r>
      <w:r>
        <w:rPr>
          <w:rFonts w:eastAsia="Century Gothic" w:cs="Century Gothic" w:ascii="Century Gothic" w:hAnsi="Century Gothic"/>
          <w:b/>
          <w:bCs/>
          <w:color w:val="000000"/>
          <w:sz w:val="21"/>
          <w:szCs w:val="21"/>
        </w:rPr>
        <w:br/>
        <w:t>Objectif :</w:t>
      </w:r>
      <w:r>
        <w:rPr>
          <w:rFonts w:eastAsia="Century Gothic" w:cs="Century Gothic" w:ascii="Century Gothic" w:hAnsi="Century Gothic"/>
          <w:color w:val="000000"/>
          <w:sz w:val="21"/>
          <w:szCs w:val="21"/>
        </w:rPr>
        <w:t xml:space="preserve"> Préparer une séquence d’atelier philosophique cohérente en articulant un objectif pédagogique, un support, les habiletés de pensée travaillées et une progression de questions.</w:t>
        <w:br/>
        <w:t>Chapitre 1 : Comprendre pourquoi préparer son atelier philosophique</w:t>
        <w:br/>
        <w:t>Chapitre 2 : Analyser un exemple de préparation</w:t>
        <w:br/>
        <w:t>Chapitre 3 : Exercice de préparation</w:t>
        <w:br/>
        <w:t>Chapitre 4 : Guide de préparation</w:t>
        <w:br/>
        <w:t>Chapitre 5 : Visio 7 : philosopher à partir du non-philosophique</w:t>
        <w:br/>
        <w:t>Chapitre 6 : Quiz de validation du module 7</w:t>
        <w:br/>
      </w:r>
    </w:p>
    <w:p>
      <w:pPr>
        <w:pStyle w:val="Normal"/>
        <w:widowControl/>
        <w:spacing w:lineRule="auto" w:line="240" w:before="210" w:after="210"/>
        <w:ind w:left="0" w:right="0" w:hanging="1"/>
        <w:jc w:val="left"/>
        <w:rPr/>
      </w:pPr>
      <w:r>
        <w:rPr>
          <w:rFonts w:eastAsia="Century Gothic" w:cs="Century Gothic" w:ascii="Century Gothic" w:hAnsi="Century Gothic"/>
          <w:color w:val="000000"/>
          <w:sz w:val="21"/>
          <w:szCs w:val="21"/>
        </w:rPr>
        <w:t>...</w:t>
        <w:br/>
        <w:t>Évaluation Module 7</w:t>
      </w:r>
    </w:p>
    <w:p>
      <w:pPr>
        <w:pStyle w:val="Normal"/>
        <w:widowControl/>
        <w:spacing w:lineRule="auto" w:line="240" w:before="0" w:after="0"/>
        <w:ind w:left="0" w:right="0" w:hanging="1"/>
        <w:jc w:val="left"/>
        <w:rPr/>
      </w:pPr>
      <w:r>
        <w:rPr>
          <w:rFonts w:eastAsia="Century Gothic" w:cs="Century Gothic" w:ascii="Century Gothic" w:hAnsi="Century Gothic"/>
          <w:b/>
          <w:bCs/>
          <w:color w:val="000000"/>
          <w:sz w:val="21"/>
          <w:szCs w:val="21"/>
        </w:rPr>
        <w:t>MODULE 8 :</w:t>
      </w:r>
      <w:r>
        <w:rPr>
          <w:rFonts w:eastAsia="Century Gothic" w:cs="Century Gothic" w:ascii="Century Gothic" w:hAnsi="Century Gothic"/>
          <w:color w:val="000000"/>
          <w:sz w:val="21"/>
          <w:szCs w:val="21"/>
        </w:rPr>
        <w:t xml:space="preserve"> Se lancer et démarcher</w:t>
      </w:r>
      <w:r>
        <w:rPr>
          <w:rFonts w:eastAsia="Century Gothic" w:cs="Century Gothic" w:ascii="Century Gothic" w:hAnsi="Century Gothic"/>
          <w:b/>
          <w:bCs/>
          <w:color w:val="000000"/>
          <w:sz w:val="21"/>
          <w:szCs w:val="21"/>
        </w:rPr>
        <w:br/>
        <w:t>Durée :</w:t>
      </w:r>
      <w:r>
        <w:rPr>
          <w:rFonts w:eastAsia="Century Gothic" w:cs="Century Gothic" w:ascii="Century Gothic" w:hAnsi="Century Gothic"/>
          <w:color w:val="000000"/>
          <w:sz w:val="21"/>
          <w:szCs w:val="21"/>
        </w:rPr>
        <w:t xml:space="preserve"> 4 heures : 2 h en autonomie + 2 h en visioconférence</w:t>
      </w:r>
      <w:r>
        <w:rPr>
          <w:rFonts w:eastAsia="Century Gothic" w:cs="Century Gothic" w:ascii="Century Gothic" w:hAnsi="Century Gothic"/>
          <w:b/>
          <w:bCs/>
          <w:color w:val="000000"/>
          <w:sz w:val="21"/>
          <w:szCs w:val="21"/>
        </w:rPr>
        <w:br/>
        <w:t>Objectif :</w:t>
      </w:r>
      <w:r>
        <w:rPr>
          <w:rFonts w:eastAsia="Century Gothic" w:cs="Century Gothic" w:ascii="Century Gothic" w:hAnsi="Century Gothic"/>
          <w:color w:val="000000"/>
          <w:sz w:val="21"/>
          <w:szCs w:val="21"/>
        </w:rPr>
        <w:t xml:space="preserve"> Présenter son activité d’animation d’ateliers philosophiques, démarcher des structures et construire une proposition d’intervention cohérente reposant sur des objectifs pédagogiques clairement définis.</w:t>
        <w:br/>
        <w:t>Chapitre 1 : Démarcher des structures</w:t>
        <w:br/>
        <w:t>Chapitre 2 : Construire une communication adaptée</w:t>
        <w:br/>
        <w:t>Chapitre 3 : Présenter un projet d’atelier philosophique en milieu scolaire</w:t>
        <w:br/>
        <w:t>Chapitre 4 : Visio 8 : se fixer des objectifs pédagogiques</w:t>
        <w:br/>
        <w:t>Chapitre 5 : Monter un projet cohérent</w:t>
        <w:br/>
        <w:t>Chapitre 6 : Quiz de validation du module 8</w:t>
        <w:br/>
        <w:t>Chapitre 7 : Quiz de fin de formation</w:t>
        <w:br/>
      </w:r>
    </w:p>
    <w:p>
      <w:pPr>
        <w:pStyle w:val="Normal"/>
        <w:widowControl/>
        <w:spacing w:lineRule="auto" w:line="240" w:before="210" w:after="210"/>
        <w:ind w:left="0" w:right="0" w:hanging="1"/>
        <w:jc w:val="left"/>
        <w:rPr/>
      </w:pPr>
      <w:r>
        <w:rPr>
          <w:rFonts w:eastAsia="Century Gothic" w:cs="Century Gothic" w:ascii="Century Gothic" w:hAnsi="Century Gothic"/>
          <w:color w:val="000000"/>
          <w:sz w:val="21"/>
          <w:szCs w:val="21"/>
        </w:rPr>
        <w:t>...</w:t>
        <w:br/>
        <w:t>Évaluation Module 8</w:t>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2"/>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0"/>
        <w:rPr>
          <w:rFonts w:ascii="Century Gothic" w:hAnsi="Century Gothic" w:eastAsia="Century Gothic" w:cs="Century Gothic"/>
          <w:color w:val="FF0000"/>
        </w:rPr>
      </w:pPr>
      <w:r>
        <w:rPr>
          <w:rFonts w:eastAsia="Century Gothic" w:cs="Century Gothic" w:ascii="Century Gothic" w:hAnsi="Century Gothic"/>
          <w:color w:val="FF0000"/>
        </w:rPr>
      </w:r>
    </w:p>
    <w:p>
      <w:pPr>
        <w:pStyle w:val="Normal"/>
        <w:ind w:left="0" w:hanging="0"/>
        <w:jc w:val="center"/>
        <w:rPr/>
      </w:pPr>
      <w:r>
        <w:rPr/>
        <w:t xml:space="preserve"> </w:t>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ind w:left="0" w:hanging="0"/>
        <w:rPr/>
      </w:pPr>
      <w:r>
        <w:rPr/>
      </w:r>
    </w:p>
    <w:p>
      <w:pPr>
        <w:pStyle w:val="Normal"/>
        <w:suppressAutoHyphens w:val="false"/>
        <w:spacing w:lineRule="auto" w:line="259" w:before="0" w:after="160"/>
        <w:ind w:left="0" w:hanging="0"/>
        <w:jc w:val="center"/>
        <w:textAlignment w:val="auto"/>
        <w:rPr>
          <w:rFonts w:ascii="Century Gothic" w:hAnsi="Century Gothic" w:eastAsia="Century Gothic" w:cs="Century Gothic"/>
          <w:b/>
          <w:b/>
          <w:sz w:val="36"/>
          <w:szCs w:val="36"/>
        </w:rPr>
      </w:pPr>
      <w:r>
        <w:rPr>
          <w:rFonts w:eastAsia="Century Gothic" w:cs="Century Gothic" w:ascii="Century Gothic" w:hAnsi="Century Gothic"/>
          <w:b/>
          <w:sz w:val="36"/>
          <w:szCs w:val="36"/>
        </w:rPr>
        <w:t>ACCESSIBILITE</w:t>
      </w:r>
    </w:p>
    <w:p>
      <w:pPr>
        <w:pStyle w:val="Normal"/>
        <w:suppressAutoHyphens w:val="false"/>
        <w:spacing w:lineRule="auto" w:line="259" w:before="0" w:after="160"/>
        <w:ind w:left="0" w:hanging="0"/>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suppressAutoHyphens w:val="false"/>
        <w:spacing w:lineRule="auto" w:line="259" w:before="0" w:after="16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En application de l’article 47 de la loi nº 2005-102 du 11 février 2005 et du décret n° 2019-768 du 24 juillet 2019 ce document présente la politique de  Nadia THUILLIERS en matière d’accessibilité numérique.</w:t>
      </w:r>
    </w:p>
    <w:p>
      <w:pPr>
        <w:pStyle w:val="Normal"/>
        <w:suppressAutoHyphens w:val="false"/>
        <w:spacing w:lineRule="auto" w:line="259" w:before="0" w:after="160"/>
        <w:ind w:left="0" w:hanging="0"/>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numPr>
          <w:ilvl w:val="0"/>
          <w:numId w:val="1"/>
        </w:numPr>
        <w:pBdr/>
        <w:suppressAutoHyphens w:val="false"/>
        <w:spacing w:lineRule="auto" w:line="259" w:before="0" w:after="160"/>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t>RESPONSABLE ACCESSIBILITE NUMERIQUE</w:t>
      </w:r>
    </w:p>
    <w:p>
      <w:pPr>
        <w:pStyle w:val="Normal"/>
        <w:suppressAutoHyphens w:val="false"/>
        <w:spacing w:lineRule="auto" w:line="259" w:before="0" w:after="16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Pour veiller continuellement à l’accessibilité des contenus numériques,  Nadia THUILLIERS a nommé un responsable de l’accessibilité numérique.</w:t>
      </w:r>
    </w:p>
    <w:p>
      <w:pPr>
        <w:pStyle w:val="Normal"/>
        <w:suppressAutoHyphens w:val="false"/>
        <w:spacing w:lineRule="auto" w:line="259" w:before="0" w:after="16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Celui-ci a pour missions :</w:t>
      </w:r>
    </w:p>
    <w:p>
      <w:pPr>
        <w:pStyle w:val="Normal"/>
        <w:numPr>
          <w:ilvl w:val="0"/>
          <w:numId w:val="2"/>
        </w:numPr>
        <w:pBdr/>
        <w:suppressAutoHyphens w:val="false"/>
        <w:spacing w:lineRule="auto" w:line="259" w:before="0" w:after="160"/>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De veiller à la mise en place de processus pour l'accessibilité des contenus numériques ;</w:t>
      </w:r>
    </w:p>
    <w:p>
      <w:pPr>
        <w:pStyle w:val="Normal"/>
        <w:numPr>
          <w:ilvl w:val="0"/>
          <w:numId w:val="2"/>
        </w:numPr>
        <w:pBdr/>
        <w:suppressAutoHyphens w:val="false"/>
        <w:spacing w:lineRule="auto" w:line="259" w:before="0" w:after="160"/>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De rendre compte au responsable de la formation des contenus et des services numériques, ainsi que de tout besoin d'amélioration ;</w:t>
      </w:r>
    </w:p>
    <w:p>
      <w:pPr>
        <w:pStyle w:val="Normal"/>
        <w:numPr>
          <w:ilvl w:val="0"/>
          <w:numId w:val="2"/>
        </w:numPr>
        <w:pBdr/>
        <w:suppressAutoHyphens w:val="false"/>
        <w:spacing w:lineRule="auto" w:line="259" w:before="0" w:after="160"/>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De s'assurer que la sensibilisation aux exigences de l'accessibilité est encouragée dans l’établissement ;</w:t>
      </w:r>
    </w:p>
    <w:p>
      <w:pPr>
        <w:pStyle w:val="Normal"/>
        <w:numPr>
          <w:ilvl w:val="0"/>
          <w:numId w:val="2"/>
        </w:numPr>
        <w:pBdr/>
        <w:suppressAutoHyphens w:val="false"/>
        <w:spacing w:lineRule="auto" w:line="259" w:before="0" w:after="160"/>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D’être l'interlocuteur premier sur tous les sujets d'accessibilité numérique.</w:t>
      </w:r>
    </w:p>
    <w:p>
      <w:pPr>
        <w:pStyle w:val="Normal"/>
        <w:suppressAutoHyphens w:val="false"/>
        <w:spacing w:lineRule="auto" w:line="259" w:before="0" w:after="160"/>
        <w:ind w:left="0" w:hanging="0"/>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numPr>
          <w:ilvl w:val="0"/>
          <w:numId w:val="1"/>
        </w:numPr>
        <w:pBdr/>
        <w:suppressAutoHyphens w:val="false"/>
        <w:spacing w:lineRule="auto" w:line="259" w:before="0" w:after="160"/>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t>ACTION DE FORMATION ET DE SENSIBILISATION</w:t>
      </w:r>
    </w:p>
    <w:p>
      <w:pPr>
        <w:pStyle w:val="Normal"/>
        <w:suppressAutoHyphens w:val="false"/>
        <w:spacing w:lineRule="auto" w:line="259" w:before="0" w:after="16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Pour répondre au besoin de sensibilisation et de formation des membres de  Nadia THUILLIERS, un plan de formation sera déroulé sur les trois prochaines années. Ces formations seront réalisées selon la méthode la plus appropriée pour répondre aux spécificités de la formation, soit par des dispositifs à distance synchrones ou asynchrones, soit par des dispositifs en présentiel.</w:t>
      </w:r>
    </w:p>
    <w:p>
      <w:pPr>
        <w:pStyle w:val="Normal"/>
        <w:suppressAutoHyphens w:val="false"/>
        <w:spacing w:lineRule="auto" w:line="259" w:before="0" w:after="16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numPr>
          <w:ilvl w:val="0"/>
          <w:numId w:val="1"/>
        </w:numPr>
        <w:pBdr/>
        <w:suppressAutoHyphens w:val="false"/>
        <w:spacing w:lineRule="auto" w:line="259" w:before="0" w:after="160"/>
        <w:jc w:val="both"/>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t>GUIDE DES BONNES PRATIQUES</w:t>
      </w:r>
    </w:p>
    <w:p>
      <w:pPr>
        <w:pStyle w:val="Normal"/>
        <w:ind w:left="0" w:hanging="0"/>
        <w:rPr>
          <w:rFonts w:ascii="Century Gothic" w:hAnsi="Century Gothic" w:eastAsia="Century Gothic" w:cs="Century Gothic"/>
          <w:sz w:val="20"/>
          <w:szCs w:val="20"/>
        </w:rPr>
      </w:pPr>
      <w:r>
        <w:rPr>
          <w:rFonts w:eastAsia="Century Gothic" w:cs="Century Gothic" w:ascii="Century Gothic" w:hAnsi="Century Gothic"/>
          <w:sz w:val="20"/>
          <w:szCs w:val="20"/>
        </w:rPr>
        <w:t>Pour que la prise en compte de l’accessibilité dans la fabrication des contenus et la mise en place des services numériques deviennent des éléments de la qualité, chaque pôle intègrera les bonnes pratiques de l’accessibilité adaptées à ses contenus et outils. Cette adaptation sera issue des expériences faites lors de nos formations.</w:t>
      </w:r>
    </w:p>
    <w:p>
      <w:pPr>
        <w:pStyle w:val="Normal"/>
        <w:ind w:left="0" w:hanging="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ind w:left="0" w:hanging="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ind w:left="0" w:hanging="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ind w:left="0" w:hanging="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ind w:left="0" w:hanging="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ind w:left="0" w:hanging="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ind w:left="0" w:hanging="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ind w:left="0" w:hanging="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ind w:left="0" w:hanging="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ind w:left="0" w:hanging="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ind w:left="0" w:hanging="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ind w:left="0" w:hanging="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suppressAutoHyphens w:val="false"/>
        <w:spacing w:lineRule="auto" w:line="259" w:before="0" w:after="160"/>
        <w:ind w:left="0" w:hanging="0"/>
        <w:jc w:val="center"/>
        <w:textAlignment w:val="auto"/>
        <w:rPr>
          <w:rFonts w:ascii="Century Gothic" w:hAnsi="Century Gothic" w:eastAsia="Century Gothic" w:cs="Century Gothic"/>
          <w:b/>
          <w:b/>
          <w:sz w:val="36"/>
          <w:szCs w:val="36"/>
        </w:rPr>
      </w:pPr>
      <w:r>
        <w:rPr>
          <w:rFonts w:eastAsia="Century Gothic" w:cs="Century Gothic" w:ascii="Century Gothic" w:hAnsi="Century Gothic"/>
          <w:b/>
          <w:sz w:val="36"/>
          <w:szCs w:val="36"/>
        </w:rPr>
        <w:t>CONDITIONS GENERALES DE VENTE</w:t>
      </w:r>
    </w:p>
    <w:p>
      <w:pPr>
        <w:pStyle w:val="Normal"/>
        <w:suppressAutoHyphens w:val="false"/>
        <w:spacing w:lineRule="auto" w:line="240" w:before="480" w:after="120"/>
        <w:ind w:left="0" w:hanging="0"/>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t>Modalités de règlement</w:t>
      </w:r>
    </w:p>
    <w:p>
      <w:pPr>
        <w:pStyle w:val="Normal"/>
        <w:suppressAutoHyphens w:val="false"/>
        <w:spacing w:lineRule="auto" w:line="240" w:before="20" w:after="2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Le paiement sera dû en totalité à réception d'une facture émise par l'organisme de formation à destination du bénéficiaire.</w:t>
      </w:r>
    </w:p>
    <w:p>
      <w:pPr>
        <w:pStyle w:val="Normal"/>
        <w:suppressAutoHyphens w:val="false"/>
        <w:spacing w:lineRule="auto" w:line="259" w:before="0" w:after="16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pBdr/>
        <w:suppressAutoHyphens w:val="false"/>
        <w:spacing w:lineRule="auto" w:line="240" w:before="20" w:after="20"/>
        <w:ind w:left="0" w:hanging="0"/>
        <w:jc w:val="both"/>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t>Non réalisation de la prestation de formation</w:t>
      </w:r>
    </w:p>
    <w:p>
      <w:pPr>
        <w:pStyle w:val="Normal"/>
        <w:pBdr/>
        <w:suppressAutoHyphens w:val="false"/>
        <w:spacing w:lineRule="auto" w:line="240" w:before="240" w:after="20"/>
        <w:ind w:left="0" w:hanging="0"/>
        <w:jc w:val="both"/>
        <w:textAlignment w:val="auto"/>
        <w:rPr>
          <w:rFonts w:ascii="Century Gothic" w:hAnsi="Century Gothic" w:eastAsia="Century Gothic" w:cs="Century Gothic"/>
          <w:b/>
          <w:b/>
          <w:sz w:val="20"/>
          <w:szCs w:val="20"/>
        </w:rPr>
      </w:pPr>
      <w:r>
        <w:rPr>
          <w:rFonts w:eastAsia="Century Gothic" w:cs="Century Gothic" w:ascii="Century Gothic" w:hAnsi="Century Gothic"/>
          <w:sz w:val="20"/>
          <w:szCs w:val="20"/>
        </w:rPr>
        <w:t>En application de l’article L6354-1 du Code du travail, il est convenu entre les signataires de la présente convention, que faute de résiliation totale ou partielle de la prestation de formation, l’organisme prestataire doit rembourser au cocontractant les sommes indûment perçues de ce fait.</w:t>
      </w:r>
    </w:p>
    <w:p>
      <w:pPr>
        <w:pStyle w:val="Normal"/>
        <w:pBdr/>
        <w:suppressAutoHyphens w:val="false"/>
        <w:spacing w:lineRule="auto" w:line="240" w:before="20" w:after="2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ab/>
        <w:tab/>
        <w:tab/>
        <w:tab/>
        <w:tab/>
        <w:tab/>
      </w:r>
    </w:p>
    <w:p>
      <w:pPr>
        <w:pStyle w:val="Normal"/>
        <w:pBdr/>
        <w:suppressAutoHyphens w:val="false"/>
        <w:spacing w:lineRule="auto" w:line="240"/>
        <w:ind w:left="0" w:hanging="0"/>
        <w:jc w:val="both"/>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r>
    </w:p>
    <w:p>
      <w:pPr>
        <w:pStyle w:val="Normal"/>
        <w:pBdr/>
        <w:suppressAutoHyphens w:val="false"/>
        <w:spacing w:lineRule="auto" w:line="240"/>
        <w:ind w:left="0" w:hanging="0"/>
        <w:jc w:val="both"/>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t>Obligations et force majeure</w:t>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ab/>
        <w:tab/>
        <w:tab/>
        <w:tab/>
        <w:tab/>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Dans le cadre de ses prestations de formation, «  Nadia THUILLIERS » est tenue à une obligation de moyen et non de résultat vis</w:t>
      </w:r>
      <w:r>
        <w:rPr>
          <w:rFonts w:eastAsia="Cambria Math" w:cs="Cambria Math" w:ascii="Cambria Math" w:hAnsi="Cambria Math"/>
          <w:sz w:val="20"/>
          <w:szCs w:val="20"/>
        </w:rPr>
        <w:t>‐</w:t>
      </w:r>
      <w:r>
        <w:rPr>
          <w:rFonts w:eastAsia="Century Gothic" w:cs="Century Gothic" w:ascii="Century Gothic" w:hAnsi="Century Gothic"/>
          <w:sz w:val="20"/>
          <w:szCs w:val="20"/>
        </w:rPr>
        <w:t>à</w:t>
      </w:r>
      <w:r>
        <w:rPr>
          <w:rFonts w:eastAsia="Cambria Math" w:cs="Cambria Math" w:ascii="Cambria Math" w:hAnsi="Cambria Math"/>
          <w:sz w:val="20"/>
          <w:szCs w:val="20"/>
        </w:rPr>
        <w:t>‐</w:t>
      </w:r>
      <w:r>
        <w:rPr>
          <w:rFonts w:eastAsia="Century Gothic" w:cs="Century Gothic" w:ascii="Century Gothic" w:hAnsi="Century Gothic"/>
          <w:sz w:val="20"/>
          <w:szCs w:val="20"/>
        </w:rPr>
        <w:t>vis de ses Clients ou de ses Stagiaires. «  Nadia THUILLIERS » ne pourra ê</w:t>
      </w:r>
      <w:r>
        <w:rPr>
          <w:rFonts w:eastAsia="Arial" w:cs="Arial" w:ascii="Arial" w:hAnsi="Arial"/>
          <w:sz w:val="20"/>
          <w:szCs w:val="20"/>
        </w:rPr>
        <w:t>t</w:t>
      </w:r>
      <w:r>
        <w:rPr>
          <w:rFonts w:eastAsia="Century Gothic" w:cs="Century Gothic" w:ascii="Century Gothic" w:hAnsi="Century Gothic"/>
          <w:sz w:val="20"/>
          <w:szCs w:val="20"/>
        </w:rPr>
        <w:t>re tenue responsable à l’égard de ses Clients ou de ses Stagiaires en cas d’inexécution de ses obligations résultant d’un événement fortuit ou de force majeure. Sont ici considérés comme cas fortuit ou de force majeure, outre ceux habituellement reconnus par la jurisprudence : la maladie ou l’accident d’un intervenant ou d’un responsable pédagogique, les grèves ou conflits sociaux externes à «  Nadia THUILLIERS », les désastres naturels, les incendies, l’interruption des télécommunications, de l’approvisionnement en énergie, ou des transports de tout type, ou toute autre circonstance échappant au contrôle raisonnable de «  Nadia THUILLIERS ». </w:t>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ab/>
        <w:tab/>
        <w:tab/>
        <w:tab/>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pBdr/>
        <w:suppressAutoHyphens w:val="false"/>
        <w:spacing w:lineRule="auto" w:line="240"/>
        <w:ind w:left="0" w:hanging="0"/>
        <w:jc w:val="both"/>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t>Devis et attestation</w:t>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ab/>
        <w:tab/>
        <w:tab/>
        <w:tab/>
        <w:tab/>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Pour chaque action de formation, un devis est adressé en deux exemplaires par «  Nadia THUILLIERS » au Client. Un exemplaire dû</w:t>
      </w:r>
      <w:r>
        <w:rPr>
          <w:rFonts w:eastAsia="Arial" w:cs="Arial" w:ascii="Arial" w:hAnsi="Arial"/>
          <w:sz w:val="20"/>
          <w:szCs w:val="20"/>
        </w:rPr>
        <w:t>m</w:t>
      </w:r>
      <w:r>
        <w:rPr>
          <w:rFonts w:eastAsia="Century Gothic" w:cs="Century Gothic" w:ascii="Century Gothic" w:hAnsi="Century Gothic"/>
          <w:sz w:val="20"/>
          <w:szCs w:val="20"/>
        </w:rPr>
        <w:t>ent renseigné, daté, tamponné, signé et revê</w:t>
      </w:r>
      <w:r>
        <w:rPr>
          <w:rFonts w:eastAsia="Arial" w:cs="Arial" w:ascii="Arial" w:hAnsi="Arial"/>
          <w:sz w:val="20"/>
          <w:szCs w:val="20"/>
        </w:rPr>
        <w:t>t</w:t>
      </w:r>
      <w:r>
        <w:rPr>
          <w:rFonts w:eastAsia="Century Gothic" w:cs="Century Gothic" w:ascii="Century Gothic" w:hAnsi="Century Gothic"/>
          <w:sz w:val="20"/>
          <w:szCs w:val="20"/>
        </w:rPr>
        <w:t xml:space="preserve">u de la mention « Bon pour accord » doivent être retourné à «  Nadia THUILLIERS » par e-mail. Le cas échéant une convention particulière peut être établie entre «  Nadia THUILLIERS », l’OPCO ou le Client. À l’issue de la formation, «  Nadia THUILLIERS » remet une attestation de formation au Stagiaire. Dans le cas d’une prise en charge partielle ou totale par un OPCO, «  Nadia THUILLIERS » lui fait parvenir un exemplaire de la feuille d’émargement accompagné de la facture. Une attestation d’assiduité pour chaque Stagiaire peut être fournie au Client, à sa demande. </w:t>
        <w:tab/>
      </w:r>
    </w:p>
    <w:p>
      <w:pPr>
        <w:pStyle w:val="Normal"/>
        <w:suppressAutoHyphens w:val="false"/>
        <w:spacing w:lineRule="auto" w:line="240" w:before="480" w:after="120"/>
        <w:ind w:left="0" w:hanging="0"/>
        <w:jc w:val="both"/>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br/>
      </w:r>
    </w:p>
    <w:p>
      <w:pPr>
        <w:pStyle w:val="Normal"/>
        <w:suppressAutoHyphens w:val="false"/>
        <w:spacing w:lineRule="auto" w:line="259" w:before="0" w:after="160"/>
        <w:ind w:left="0" w:hanging="0"/>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r>
      <w:r>
        <w:br w:type="page"/>
      </w:r>
    </w:p>
    <w:p>
      <w:pPr>
        <w:pStyle w:val="Normal"/>
        <w:suppressAutoHyphens w:val="false"/>
        <w:spacing w:lineRule="auto" w:line="240" w:before="480" w:after="120"/>
        <w:ind w:left="0" w:hanging="0"/>
        <w:jc w:val="both"/>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r>
    </w:p>
    <w:p>
      <w:pPr>
        <w:pStyle w:val="Normal"/>
        <w:suppressAutoHyphens w:val="false"/>
        <w:spacing w:lineRule="auto" w:line="240" w:before="480" w:after="120"/>
        <w:ind w:left="0" w:hanging="0"/>
        <w:jc w:val="both"/>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t>Dédommagement, réparation ou dédit</w:t>
      </w:r>
    </w:p>
    <w:p>
      <w:pPr>
        <w:pStyle w:val="Normal"/>
        <w:pBdr/>
        <w:suppressAutoHyphens w:val="false"/>
        <w:spacing w:lineRule="auto" w:line="240" w:before="20" w:after="2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En cas de renoncement par le bénéficiaire avant le début du programme de formation</w:t>
      </w:r>
    </w:p>
    <w:p>
      <w:pPr>
        <w:pStyle w:val="Normal"/>
        <w:numPr>
          <w:ilvl w:val="0"/>
          <w:numId w:val="3"/>
        </w:numPr>
        <w:suppressAutoHyphens w:val="false"/>
        <w:spacing w:lineRule="auto" w:line="240" w:before="240" w:after="160"/>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Dans un délai compris entre 2 semaines et 1 semaine avant le début de la formation : 50% du coût de la formation est dû.</w:t>
        <w:br/>
        <w:t xml:space="preserve"> </w:t>
        <w:tab/>
      </w:r>
    </w:p>
    <w:p>
      <w:pPr>
        <w:pStyle w:val="Normal"/>
        <w:numPr>
          <w:ilvl w:val="0"/>
          <w:numId w:val="3"/>
        </w:numPr>
        <w:suppressAutoHyphens w:val="false"/>
        <w:spacing w:lineRule="auto" w:line="240" w:before="0" w:after="160"/>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Dans un délai compris entre 1 semaine et 48 heures avant le début de la formation : 75 % du coût de la formation est dû.</w:t>
        <w:br/>
        <w:t xml:space="preserve"> </w:t>
        <w:tab/>
      </w:r>
    </w:p>
    <w:p>
      <w:pPr>
        <w:pStyle w:val="Normal"/>
        <w:numPr>
          <w:ilvl w:val="0"/>
          <w:numId w:val="3"/>
        </w:numPr>
        <w:suppressAutoHyphens w:val="false"/>
        <w:spacing w:lineRule="auto" w:line="240" w:before="0" w:after="240"/>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Dans un délai inférieur à 48 heures avant le début de la formation : 100 % du coût de la formation est dû.</w:t>
      </w:r>
    </w:p>
    <w:p>
      <w:pPr>
        <w:pStyle w:val="Normal"/>
        <w:pBdr/>
        <w:suppressAutoHyphens w:val="false"/>
        <w:spacing w:lineRule="auto" w:line="240" w:before="20" w:after="2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Le coût ne pourra faire l’objet d’une demande de remboursement ou de prise en charge par l'OPCO.</w:t>
      </w:r>
    </w:p>
    <w:p>
      <w:pPr>
        <w:pStyle w:val="Normal"/>
        <w:suppressAutoHyphens w:val="false"/>
        <w:spacing w:lineRule="auto" w:line="240" w:before="480" w:after="120"/>
        <w:ind w:left="0" w:hanging="0"/>
        <w:jc w:val="both"/>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t>Propriété́ intellectuelle et copyright</w:t>
        <w:tab/>
        <w:tab/>
        <w:tab/>
        <w:tab/>
        <w:tab/>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 xml:space="preserve">L’ensemble des fiches de présentation, contenus et supports pédagogiques quelle qu’en soit la forme (papier, électronique, numérique, orale...) utilisés par «  Nadia THUILLIERS » pour assurer les formations ou remis aux Stagiaires constituent des œuvres originales et à̀ ce titre sont protégées par la propriété intellectuelle et le copyright. À ce titre, le Client et le Stagiaire s’interdisent d’utiliser, transmettre, reproduire, exploiter ou transformer tout ou partie de ces documents, sans un accord exprès de «  Nadia THUILLIERS ». Cette interdiction porte, en particulier, sur toute utilisation faite par le Client et le Stagiaire en vue de l’organisation ou l’animation de formations.  </w:t>
      </w:r>
    </w:p>
    <w:p>
      <w:pPr>
        <w:pStyle w:val="Normal"/>
        <w:suppressAutoHyphens w:val="false"/>
        <w:spacing w:lineRule="auto" w:line="240" w:before="400" w:after="120"/>
        <w:ind w:left="0" w:hanging="0"/>
        <w:jc w:val="both"/>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t>Descriptif et programme des formations</w:t>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Les contenus des programmes, tels qu’ils figurent sur les fiches de présentation des formations sont fournis à titre indicatif. L’intervenant ou le responsable pédagogique se réservent le droit de les modifier en fonction de l’actualité, du niveau des participants ou de la dynamique du groupe. </w:t>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pBdr/>
        <w:suppressAutoHyphens w:val="false"/>
        <w:spacing w:lineRule="auto" w:line="240"/>
        <w:ind w:left="0" w:hanging="0"/>
        <w:jc w:val="both"/>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t>Confidentialité et communication</w:t>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ab/>
        <w:tab/>
        <w:tab/>
        <w:tab/>
        <w:tab/>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  Nadia THUILLIERS », le Client et le Stagiaire s’engagent à garder confidentiels les documents et les informations auxquels ils pourraient avoir accès au cours de la prestation de formation ou à l’occasion des échanges intervenus antérieurement à l’inscription, notamment l’ensemble des éléments figurant dans la proposition transmise par «  Nadia THUILLIERS » au Client. «  Nadia THUILLIERS » s’engage à ne pas communiquer à des tiers autres que les partenaires avec lesquels sont organisées les formations et aux OPCO, les informations transmises par le Client y compris les informations concernant les Stagiaires. Cependant, le Client accepte d’être cité par «  Nadia THUILLIERS » comme client de ses formations. À cet effet, le Client autorise «  Nadia THUILLIERS » à mentionner son nom, son logo ainsi qu’une description objective de la nature des prestations dans ses listes de références et propositions à l’attention de ses prospects et de sa clientèle, entretiens avec des tiers, rapports d’activité, site internet, ainsi qu’en cas de dispositions légales, réglementaires ou comptables l’exigeant.</w:t>
      </w:r>
    </w:p>
    <w:p>
      <w:pPr>
        <w:pStyle w:val="Normal"/>
        <w:pBdr/>
        <w:tabs>
          <w:tab w:val="left" w:pos="720" w:leader="none"/>
          <w:tab w:val="left" w:pos="1440" w:leader="none"/>
          <w:tab w:val="left" w:pos="2160" w:leader="none"/>
          <w:tab w:val="left" w:pos="2880" w:leader="none"/>
          <w:tab w:val="left" w:pos="3600" w:leader="none"/>
          <w:tab w:val="left" w:pos="6915" w:leader="none"/>
        </w:tabs>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ab/>
        <w:tab/>
        <w:tab/>
        <w:tab/>
        <w:tab/>
        <w:tab/>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pBdr/>
        <w:tabs>
          <w:tab w:val="left" w:pos="7335" w:leader="none"/>
        </w:tabs>
        <w:suppressAutoHyphens w:val="false"/>
        <w:spacing w:lineRule="auto" w:line="240"/>
        <w:ind w:left="0" w:hanging="0"/>
        <w:jc w:val="both"/>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t>Protection et accès aux informations à caractère personnel</w:t>
        <w:tab/>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ab/>
        <w:tab/>
        <w:tab/>
        <w:tab/>
        <w:tab/>
      </w:r>
    </w:p>
    <w:p>
      <w:pPr>
        <w:pStyle w:val="Normal"/>
        <w:pBdr/>
        <w:suppressAutoHyphens w:val="false"/>
        <w:spacing w:lineRule="auto" w:line="24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Le Client s’engage à informer chaque Stagiaire que :</w:t>
      </w:r>
    </w:p>
    <w:p>
      <w:pPr>
        <w:pStyle w:val="Normal"/>
        <w:pBdr/>
        <w:suppressAutoHyphens w:val="false"/>
        <w:spacing w:lineRule="auto" w:line="240"/>
        <w:ind w:left="0" w:firstLine="708"/>
        <w:jc w:val="both"/>
        <w:textAlignment w:val="auto"/>
        <w:rPr>
          <w:rFonts w:ascii="Century Gothic" w:hAnsi="Century Gothic" w:eastAsia="Century Gothic" w:cs="Century Gothic"/>
          <w:sz w:val="20"/>
          <w:szCs w:val="20"/>
        </w:rPr>
      </w:pPr>
      <w:r>
        <w:rPr>
          <w:rFonts w:eastAsia="Cambria Math" w:cs="Cambria Math" w:ascii="Cambria Math" w:hAnsi="Cambria Math"/>
          <w:sz w:val="20"/>
          <w:szCs w:val="20"/>
        </w:rPr>
        <w:t>‐</w:t>
      </w:r>
      <w:r>
        <w:rPr>
          <w:rFonts w:eastAsia="Century Gothic" w:cs="Century Gothic" w:ascii="Century Gothic" w:hAnsi="Century Gothic"/>
          <w:sz w:val="20"/>
          <w:szCs w:val="20"/>
        </w:rPr>
        <w:t xml:space="preserve"> </w:t>
      </w:r>
      <w:r>
        <w:rPr>
          <w:rFonts w:eastAsia="Century Gothic" w:cs="Century Gothic" w:ascii="Century Gothic" w:hAnsi="Century Gothic"/>
          <w:sz w:val="20"/>
          <w:szCs w:val="20"/>
        </w:rPr>
        <w:t xml:space="preserve">des données à caractère personnel le concernant sont collectées et traitées aux fins de suivi de la validation de la formation et d’amélioration de l’offre de «  Nadia THUILLIERS » </w:t>
      </w:r>
    </w:p>
    <w:p>
      <w:pPr>
        <w:pStyle w:val="Normal"/>
        <w:pBdr/>
        <w:suppressAutoHyphens w:val="false"/>
        <w:spacing w:lineRule="auto" w:line="240"/>
        <w:ind w:left="0" w:firstLine="708"/>
        <w:jc w:val="both"/>
        <w:textAlignment w:val="auto"/>
        <w:rPr>
          <w:rFonts w:ascii="Century Gothic" w:hAnsi="Century Gothic" w:eastAsia="Century Gothic" w:cs="Century Gothic"/>
          <w:sz w:val="20"/>
          <w:szCs w:val="20"/>
        </w:rPr>
      </w:pPr>
      <w:r>
        <w:rPr>
          <w:rFonts w:eastAsia="Cambria Math" w:cs="Cambria Math" w:ascii="Cambria Math" w:hAnsi="Cambria Math"/>
          <w:sz w:val="20"/>
          <w:szCs w:val="20"/>
        </w:rPr>
        <w:t>‐</w:t>
      </w:r>
      <w:r>
        <w:rPr>
          <w:rFonts w:eastAsia="Century Gothic" w:cs="Century Gothic" w:ascii="Century Gothic" w:hAnsi="Century Gothic"/>
          <w:sz w:val="20"/>
          <w:szCs w:val="20"/>
        </w:rPr>
        <w:t xml:space="preserve"> </w:t>
      </w:r>
      <w:r>
        <w:rPr>
          <w:rFonts w:eastAsia="Century Gothic" w:cs="Century Gothic" w:ascii="Century Gothic" w:hAnsi="Century Gothic"/>
          <w:sz w:val="20"/>
          <w:szCs w:val="20"/>
        </w:rPr>
        <w:t>conformément à la loi n° 78</w:t>
      </w:r>
      <w:r>
        <w:rPr>
          <w:rFonts w:eastAsia="Cambria Math" w:cs="Cambria Math" w:ascii="Cambria Math" w:hAnsi="Cambria Math"/>
          <w:sz w:val="20"/>
          <w:szCs w:val="20"/>
        </w:rPr>
        <w:t>‐</w:t>
      </w:r>
      <w:r>
        <w:rPr>
          <w:rFonts w:eastAsia="Century Gothic" w:cs="Century Gothic" w:ascii="Century Gothic" w:hAnsi="Century Gothic"/>
          <w:sz w:val="20"/>
          <w:szCs w:val="20"/>
        </w:rPr>
        <w:t>17 du 6 janvier 1978, le Stagiaire dispose d’un droit d’accès, de modification, de rectification des données à caractère personnel le concernant. Le Stagiaire pourra exercer ce droit en écrivant à : «  Nadia THUILLIERS » ou par voie électronique à : «  Nadia THUILLIERS ». En particulier, «  Nadia THUILLIERS » conservera les données liées au parcours et à l’évaluation des acquis du Stagiaire, pour une période n’excédant pas la durée nécessaire à l’appréciation de la formation. Enfin, «  Nadia THUILLIERS » s’engage à effacer à l’issue des exercices toute image qui y aurait été prise par tout moyen vidéo lors de travaux pratiques ou de simulations. </w:t>
      </w:r>
    </w:p>
    <w:p>
      <w:pPr>
        <w:pStyle w:val="Normal"/>
        <w:suppressAutoHyphens w:val="false"/>
        <w:spacing w:lineRule="auto" w:line="259" w:before="0" w:after="16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pBdr/>
        <w:suppressAutoHyphens w:val="false"/>
        <w:spacing w:lineRule="auto" w:line="240"/>
        <w:ind w:left="0" w:hanging="0"/>
        <w:jc w:val="both"/>
        <w:textAlignment w:val="auto"/>
        <w:rPr>
          <w:rFonts w:ascii="Century Gothic" w:hAnsi="Century Gothic" w:eastAsia="Century Gothic" w:cs="Century Gothic"/>
          <w:b/>
          <w:b/>
          <w:sz w:val="20"/>
          <w:szCs w:val="20"/>
        </w:rPr>
      </w:pPr>
      <w:r>
        <w:rPr>
          <w:rFonts w:eastAsia="Century Gothic" w:cs="Century Gothic" w:ascii="Century Gothic" w:hAnsi="Century Gothic"/>
          <w:b/>
          <w:sz w:val="20"/>
          <w:szCs w:val="20"/>
        </w:rPr>
        <w:t>Litiges</w:t>
      </w:r>
    </w:p>
    <w:p>
      <w:pPr>
        <w:pStyle w:val="Normal"/>
        <w:pBdr/>
        <w:suppressAutoHyphens w:val="false"/>
        <w:spacing w:lineRule="auto" w:line="240" w:before="20" w:after="20"/>
        <w:ind w:left="0" w:hanging="0"/>
        <w:jc w:val="both"/>
        <w:textAlignment w:val="auto"/>
        <w:rPr>
          <w:rFonts w:ascii="Century Gothic" w:hAnsi="Century Gothic" w:eastAsia="Century Gothic" w:cs="Century Gothic"/>
          <w:sz w:val="20"/>
          <w:szCs w:val="20"/>
        </w:rPr>
      </w:pPr>
      <w:r>
        <w:rPr>
          <w:rFonts w:eastAsia="Century Gothic" w:cs="Century Gothic" w:ascii="Century Gothic" w:hAnsi="Century Gothic"/>
          <w:sz w:val="20"/>
          <w:szCs w:val="20"/>
        </w:rPr>
        <w:t>Si une contestation ou un différend ne peuvent pas être réglés à l’amiable, le Tribunal de NICE</w:t>
      </w:r>
      <w:r>
        <w:rPr>
          <w:rFonts w:eastAsia="Century Gothic" w:cs="Century Gothic" w:ascii="Century Gothic" w:hAnsi="Century Gothic"/>
          <w:sz w:val="22"/>
          <w:szCs w:val="22"/>
        </w:rPr>
        <w:t xml:space="preserve"> </w:t>
      </w:r>
      <w:r>
        <w:rPr>
          <w:rFonts w:eastAsia="Century Gothic" w:cs="Century Gothic" w:ascii="Century Gothic" w:hAnsi="Century Gothic"/>
          <w:sz w:val="20"/>
          <w:szCs w:val="20"/>
        </w:rPr>
        <w:t>sera seul compétent pour régler le litige.</w:t>
      </w:r>
    </w:p>
    <w:p>
      <w:pPr>
        <w:pStyle w:val="Normal"/>
        <w:ind w:left="0" w:hanging="0"/>
        <w:rPr/>
      </w:pPr>
      <w:r>
        <w:rPr/>
      </w:r>
    </w:p>
    <w:sectPr>
      <w:headerReference w:type="default" r:id="rId2"/>
      <w:footerReference w:type="default" r:id="rId3"/>
      <w:type w:val="nextPage"/>
      <w:pgSz w:w="11906" w:h="16838"/>
      <w:pgMar w:left="1417" w:right="1417" w:header="708" w:top="1417" w:footer="708" w:bottom="1417"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alibri">
    <w:charset w:val="00"/>
    <w:family w:val="roman"/>
    <w:pitch w:val="variable"/>
  </w:font>
  <w:font w:name="Tahoma">
    <w:charset w:val="00"/>
    <w:family w:val="roman"/>
    <w:pitch w:val="variable"/>
  </w:font>
  <w:font w:name="Century Gothic">
    <w:charset w:val="00"/>
    <w:family w:val="roman"/>
    <w:pitch w:val="variable"/>
  </w:font>
  <w:font w:name="Liberation Sans">
    <w:altName w:val="Arial"/>
    <w:charset w:val="00"/>
    <w:family w:val="swiss"/>
    <w:pitch w:val="variable"/>
  </w:font>
  <w:font w:name="Georgia">
    <w:charset w:val="00"/>
    <w:family w:val="roman"/>
    <w:pitch w:val="variable"/>
  </w:font>
  <w:font w:name="Cambria Math">
    <w:charset w:val="00"/>
    <w:family w:val="roman"/>
    <w:pitch w:val="variable"/>
  </w:font>
  <w:font w:name="Century Gothic">
    <w:charset w:val="01"/>
    <w:family w:val="auto"/>
    <w:pitch w:val="default"/>
  </w:font>
  <w:font w:name="Courier New">
    <w:charset w:val="01"/>
    <w:family w:val="modern"/>
    <w:pitch w:val="fixed"/>
  </w:font>
  <w:font w:name="Noto Sans Symbol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enter" w:pos="4536" w:leader="none"/>
        <w:tab w:val="right" w:pos="9072" w:leader="none"/>
      </w:tabs>
      <w:ind w:left="0" w:hanging="2"/>
      <w:jc w:val="right"/>
      <w:rPr>
        <w:rFonts w:ascii="Century Gothic" w:hAnsi="Century Gothic"/>
        <w:color w:val="BFBFBF" w:themeColor="background1" w:themeShade="bf"/>
        <w:sz w:val="16"/>
        <w:szCs w:val="16"/>
      </w:rPr>
    </w:pPr>
    <w:r>
      <w:rPr>
        <w:rFonts w:ascii="Century Gothic" w:hAnsi="Century Gothic"/>
        <w:color w:val="BFBFBF" w:themeColor="background1" w:themeShade="bf"/>
        <w:sz w:val="16"/>
        <w:szCs w:val="16"/>
      </w:rPr>
      <w:t>Document actualisé le 03/09/2026</w:t>
      <w:br/>
    </w:r>
  </w:p>
  <w:p>
    <w:pPr>
      <w:pStyle w:val="Normal"/>
      <w:tabs>
        <w:tab w:val="center" w:pos="4536" w:leader="none"/>
        <w:tab w:val="right" w:pos="9072" w:leader="none"/>
      </w:tabs>
      <w:ind w:left="0" w:hanging="2"/>
      <w:jc w:val="center"/>
      <w:rPr>
        <w:rFonts w:ascii="Century Gothic" w:hAnsi="Century Gothic"/>
        <w:color w:val="BFBFBF" w:themeColor="background1" w:themeShade="bf"/>
        <w:sz w:val="16"/>
        <w:szCs w:val="16"/>
      </w:rPr>
    </w:pPr>
    <w:r>
      <w:rPr>
        <w:rFonts w:eastAsia="Century Gothic" w:cs="Century Gothic" w:ascii="Century Gothic" w:hAnsi="Century Gothic"/>
        <w:color w:val="BFBFBF"/>
        <w:sz w:val="17"/>
        <w:szCs w:val="17"/>
      </w:rPr>
      <w:t>Nadia THUILLIERS 24 PARC LUBONIS , 06000 - NICE – Siret : 85180212400020 – Enregistré sous le n°En cours d'enregistrement auprès du préfet de région : Provence Alpes Côte d-azur – Cet enregistrement ne vaut pas agrément de l’État. – Naf : 93.29Z – TVA : FR69851802124 – RCS : NICE 851 802 124 R.C.S. Nice – Capital : € – Tel : 06 22 10 01 72 – Email : lespetitsphilo@lespetitsphilo.comhttps://www.lespetitsphilo.com/</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drawing>
        <wp:inline distT="0" distB="0" distL="0" distR="0">
          <wp:extent cx="1242060" cy="556260"/>
          <wp:effectExtent l="0" t="0" r="0" b="0"/>
          <wp:docPr id="1" name="Picture 1" descr="https://qaliop.net/wp-content/uploads/2025/12/THUILLIER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qaliop.net/wp-content/uploads/2025/12/THUILLIERS-LOGO.png"/>
                  <pic:cNvPicPr>
                    <a:picLocks noChangeAspect="1" noChangeArrowheads="1"/>
                  </pic:cNvPicPr>
                </pic:nvPicPr>
                <pic:blipFill>
                  <a:blip r:embed="rId1"/>
                  <a:stretch>
                    <a:fillRect/>
                  </a:stretch>
                </pic:blipFill>
                <pic:spPr bwMode="auto">
                  <a:xfrm>
                    <a:off x="0" y="0"/>
                    <a:ext cx="1242060" cy="556260"/>
                  </a:xfrm>
                  <a:prstGeom prst="rect">
                    <a:avLst/>
                  </a:prstGeom>
                </pic:spPr>
              </pic:pic>
            </a:graphicData>
          </a:graphic>
        </wp:inline>
      </w:drawing>
    </w:r>
  </w:p>
  <w:p>
    <w:pPr>
      <w:pStyle w:val="Normal"/>
      <w:pBdr/>
      <w:tabs>
        <w:tab w:val="center" w:pos="4536" w:leader="none"/>
        <w:tab w:val="right" w:pos="9072" w:leader="none"/>
      </w:tabs>
      <w:ind w:left="0" w:hanging="2"/>
      <w:jc w:val="center"/>
      <w:rPr>
        <w:color w:val="000000"/>
      </w:rPr>
    </w:pPr>
    <w:r>
      <w:rPr>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720" w:hanging="360"/>
      </w:pPr>
      <w:rPr>
        <w:rFonts w:ascii="Century Gothic" w:hAnsi="Century Gothic" w:cs="Century Gothic" w:hint="default"/>
        <w:sz w:val="20"/>
        <w:rFonts w:cs="Century Gothic"/>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Noto Sans Symbols" w:hAnsi="Noto Sans Symbols" w:cs="Noto Sans Symbols" w:hint="default"/>
        <w:rFonts w:cs="Noto Sans Symbols"/>
      </w:rPr>
    </w:lvl>
    <w:lvl w:ilvl="3">
      <w:start w:val="1"/>
      <w:numFmt w:val="bullet"/>
      <w:lvlText w:val="●"/>
      <w:lvlJc w:val="left"/>
      <w:pPr>
        <w:ind w:left="2880" w:hanging="360"/>
      </w:pPr>
      <w:rPr>
        <w:rFonts w:ascii="Noto Sans Symbols" w:hAnsi="Noto Sans Symbols" w:cs="Noto Sans Symbols" w:hint="default"/>
        <w:rFonts w:cs="Noto Sans Symbol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Noto Sans Symbols" w:hAnsi="Noto Sans Symbols" w:cs="Noto Sans Symbols" w:hint="default"/>
        <w:rFonts w:cs="Noto Sans Symbols"/>
      </w:rPr>
    </w:lvl>
    <w:lvl w:ilvl="6">
      <w:start w:val="1"/>
      <w:numFmt w:val="bullet"/>
      <w:lvlText w:val="●"/>
      <w:lvlJc w:val="left"/>
      <w:pPr>
        <w:ind w:left="5040" w:hanging="360"/>
      </w:pPr>
      <w:rPr>
        <w:rFonts w:ascii="Noto Sans Symbols" w:hAnsi="Noto Sans Symbols" w:cs="Noto Sans Symbols" w:hint="default"/>
        <w:rFonts w:cs="Noto Sans Symbol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Noto Sans Symbols" w:hAnsi="Noto Sans Symbols" w:cs="Noto Sans Symbols" w:hint="default"/>
        <w:rFonts w:cs="Noto Sans Symbols"/>
      </w:rPr>
    </w:lvl>
  </w:abstractNum>
  <w:abstractNum w:abstractNumId="3">
    <w:lvl w:ilvl="0">
      <w:start w:val="1"/>
      <w:numFmt w:val="bullet"/>
      <w:lvlText w:val="●"/>
      <w:lvlJc w:val="left"/>
      <w:pPr>
        <w:ind w:left="720" w:hanging="360"/>
      </w:pPr>
      <w:rPr>
        <w:rFonts w:ascii="Noto Sans Symbols" w:hAnsi="Noto Sans Symbols" w:cs="Noto Sans Symbols" w:hint="default"/>
        <w:sz w:val="20"/>
        <w:szCs w:val="20"/>
        <w:rFonts w:cs="Noto Sans Symbols"/>
      </w:rPr>
    </w:lvl>
    <w:lvl w:ilvl="1">
      <w:start w:val="1"/>
      <w:numFmt w:val="bullet"/>
      <w:lvlText w:val="o"/>
      <w:lvlJc w:val="left"/>
      <w:pPr>
        <w:ind w:left="1440" w:hanging="360"/>
      </w:pPr>
      <w:rPr>
        <w:rFonts w:ascii="Courier New" w:hAnsi="Courier New" w:cs="Courier New" w:hint="default"/>
        <w:sz w:val="20"/>
        <w:szCs w:val="20"/>
        <w:rFonts w:cs="Courier New"/>
      </w:rPr>
    </w:lvl>
    <w:lvl w:ilvl="2">
      <w:start w:val="1"/>
      <w:numFmt w:val="bullet"/>
      <w:lvlText w:val="▪"/>
      <w:lvlJc w:val="left"/>
      <w:pPr>
        <w:ind w:left="2160" w:hanging="360"/>
      </w:pPr>
      <w:rPr>
        <w:rFonts w:ascii="Noto Sans Symbols" w:hAnsi="Noto Sans Symbols" w:cs="Noto Sans Symbols" w:hint="default"/>
        <w:sz w:val="20"/>
        <w:szCs w:val="20"/>
        <w:rFonts w:cs="Noto Sans Symbols"/>
      </w:rPr>
    </w:lvl>
    <w:lvl w:ilvl="3">
      <w:start w:val="1"/>
      <w:numFmt w:val="bullet"/>
      <w:lvlText w:val="▪"/>
      <w:lvlJc w:val="left"/>
      <w:pPr>
        <w:ind w:left="2880" w:hanging="360"/>
      </w:pPr>
      <w:rPr>
        <w:rFonts w:ascii="Noto Sans Symbols" w:hAnsi="Noto Sans Symbols" w:cs="Noto Sans Symbols" w:hint="default"/>
        <w:sz w:val="20"/>
        <w:szCs w:val="20"/>
        <w:rFonts w:cs="Noto Sans Symbols"/>
      </w:rPr>
    </w:lvl>
    <w:lvl w:ilvl="4">
      <w:start w:val="1"/>
      <w:numFmt w:val="bullet"/>
      <w:lvlText w:val="▪"/>
      <w:lvlJc w:val="left"/>
      <w:pPr>
        <w:ind w:left="3600" w:hanging="360"/>
      </w:pPr>
      <w:rPr>
        <w:rFonts w:ascii="Noto Sans Symbols" w:hAnsi="Noto Sans Symbols" w:cs="Noto Sans Symbols" w:hint="default"/>
        <w:sz w:val="20"/>
        <w:szCs w:val="20"/>
        <w:rFonts w:cs="Noto Sans Symbols"/>
      </w:rPr>
    </w:lvl>
    <w:lvl w:ilvl="5">
      <w:start w:val="1"/>
      <w:numFmt w:val="bullet"/>
      <w:lvlText w:val="▪"/>
      <w:lvlJc w:val="left"/>
      <w:pPr>
        <w:ind w:left="4320" w:hanging="360"/>
      </w:pPr>
      <w:rPr>
        <w:rFonts w:ascii="Noto Sans Symbols" w:hAnsi="Noto Sans Symbols" w:cs="Noto Sans Symbols" w:hint="default"/>
        <w:sz w:val="20"/>
        <w:szCs w:val="20"/>
        <w:rFonts w:cs="Noto Sans Symbols"/>
      </w:rPr>
    </w:lvl>
    <w:lvl w:ilvl="6">
      <w:start w:val="1"/>
      <w:numFmt w:val="bullet"/>
      <w:lvlText w:val="▪"/>
      <w:lvlJc w:val="left"/>
      <w:pPr>
        <w:ind w:left="5040" w:hanging="360"/>
      </w:pPr>
      <w:rPr>
        <w:rFonts w:ascii="Noto Sans Symbols" w:hAnsi="Noto Sans Symbols" w:cs="Noto Sans Symbols" w:hint="default"/>
        <w:sz w:val="20"/>
        <w:szCs w:val="20"/>
        <w:rFonts w:cs="Noto Sans Symbols"/>
      </w:rPr>
    </w:lvl>
    <w:lvl w:ilvl="7">
      <w:start w:val="1"/>
      <w:numFmt w:val="bullet"/>
      <w:lvlText w:val="▪"/>
      <w:lvlJc w:val="left"/>
      <w:pPr>
        <w:ind w:left="5760" w:hanging="360"/>
      </w:pPr>
      <w:rPr>
        <w:rFonts w:ascii="Noto Sans Symbols" w:hAnsi="Noto Sans Symbols" w:cs="Noto Sans Symbols" w:hint="default"/>
        <w:sz w:val="20"/>
        <w:szCs w:val="20"/>
        <w:rFonts w:cs="Noto Sans Symbols"/>
      </w:rPr>
    </w:lvl>
    <w:lvl w:ilvl="8">
      <w:start w:val="1"/>
      <w:numFmt w:val="bullet"/>
      <w:lvlText w:val="▪"/>
      <w:lvlJc w:val="left"/>
      <w:pPr>
        <w:ind w:left="6480" w:hanging="360"/>
      </w:pPr>
      <w:rPr>
        <w:rFonts w:ascii="Noto Sans Symbols" w:hAnsi="Noto Sans Symbols" w:cs="Noto Sans Symbols" w:hint="default"/>
        <w:sz w:val="20"/>
        <w:szCs w:val="20"/>
        <w:rFonts w:cs="Noto Sans Symbol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fr-FR" w:eastAsia="fr-FR"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44b98"/>
    <w:pPr>
      <w:widowControl/>
      <w:suppressAutoHyphens w:val="true"/>
      <w:bidi w:val="0"/>
      <w:spacing w:lineRule="atLeast" w:line="1"/>
      <w:ind w:left="-1" w:hanging="1"/>
      <w:jc w:val="left"/>
      <w:textAlignment w:val="top"/>
      <w:outlineLvl w:val="0"/>
    </w:pPr>
    <w:rPr>
      <w:rFonts w:ascii="Times New Roman" w:hAnsi="Times New Roman" w:eastAsia="Times New Roman" w:cs="Times New Roman"/>
      <w:color w:val="auto"/>
      <w:kern w:val="0"/>
      <w:sz w:val="24"/>
      <w:szCs w:val="24"/>
      <w:lang w:val="fr-FR" w:eastAsia="fr-FR" w:bidi="ar-SA"/>
    </w:rPr>
  </w:style>
  <w:style w:type="paragraph" w:styleId="Titre1">
    <w:name w:val="Heading 1"/>
    <w:basedOn w:val="Normal"/>
    <w:next w:val="Normal"/>
    <w:qFormat/>
    <w:pPr>
      <w:widowControl w:val="false"/>
      <w:ind w:left="120" w:right="-20" w:hanging="1"/>
    </w:pPr>
    <w:rPr>
      <w:rFonts w:ascii="Arial" w:hAnsi="Arial" w:eastAsia="Arial" w:cs="Arial"/>
      <w:b/>
      <w:sz w:val="20"/>
      <w:szCs w:val="20"/>
    </w:rPr>
  </w:style>
  <w:style w:type="paragraph" w:styleId="Titre2">
    <w:name w:val="Heading 2"/>
    <w:basedOn w:val="Normal"/>
    <w:next w:val="Normal"/>
    <w:qFormat/>
    <w:pPr>
      <w:keepNext w:val="true"/>
      <w:keepLines/>
      <w:spacing w:lineRule="auto" w:line="259" w:before="40" w:after="0"/>
      <w:outlineLvl w:val="1"/>
    </w:pPr>
    <w:rPr>
      <w:rFonts w:ascii="Calibri" w:hAnsi="Calibri" w:eastAsia="Calibri" w:cs="Calibri"/>
      <w:color w:val="2E75B5"/>
      <w:sz w:val="26"/>
      <w:szCs w:val="26"/>
    </w:rPr>
  </w:style>
  <w:style w:type="paragraph" w:styleId="Titre3">
    <w:name w:val="Heading 3"/>
    <w:basedOn w:val="Normal"/>
    <w:next w:val="Normal"/>
    <w:qFormat/>
    <w:pPr>
      <w:keepNext w:val="true"/>
      <w:keepLines/>
      <w:spacing w:lineRule="auto" w:line="259" w:before="280" w:after="80"/>
      <w:outlineLvl w:val="2"/>
    </w:pPr>
    <w:rPr>
      <w:rFonts w:ascii="Calibri" w:hAnsi="Calibri" w:eastAsia="Calibri" w:cs="Calibri"/>
      <w:b/>
      <w:sz w:val="28"/>
      <w:szCs w:val="28"/>
    </w:rPr>
  </w:style>
  <w:style w:type="paragraph" w:styleId="Titre4">
    <w:name w:val="Heading 4"/>
    <w:basedOn w:val="Normal"/>
    <w:next w:val="Normal"/>
    <w:qFormat/>
    <w:pPr>
      <w:keepNext w:val="true"/>
      <w:keepLines/>
      <w:spacing w:lineRule="auto" w:line="247" w:before="40" w:after="0"/>
      <w:ind w:left="10" w:right="7" w:hanging="10"/>
      <w:jc w:val="both"/>
      <w:outlineLvl w:val="3"/>
    </w:pPr>
    <w:rPr>
      <w:i/>
      <w:color w:val="2E75B5"/>
      <w:sz w:val="20"/>
      <w:szCs w:val="20"/>
    </w:rPr>
  </w:style>
  <w:style w:type="paragraph" w:styleId="Titre5">
    <w:name w:val="Heading 5"/>
    <w:basedOn w:val="Normal"/>
    <w:next w:val="Normal"/>
    <w:qFormat/>
    <w:pPr>
      <w:keepNext w:val="true"/>
      <w:keepLines/>
      <w:spacing w:before="220" w:after="40"/>
      <w:outlineLvl w:val="4"/>
    </w:pPr>
    <w:rPr>
      <w:b/>
    </w:rPr>
  </w:style>
  <w:style w:type="paragraph" w:styleId="Titre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qFormat/>
    <w:rPr>
      <w:w w:val="100"/>
      <w:position w:val="0"/>
      <w:sz w:val="24"/>
      <w:effect w:val="none"/>
      <w:vertAlign w:val="baseline"/>
      <w:em w:val="none"/>
    </w:rPr>
  </w:style>
  <w:style w:type="character" w:styleId="PieddepageCar" w:customStyle="1">
    <w:name w:val="Pied de page Car"/>
    <w:basedOn w:val="DefaultParagraphFont"/>
    <w:qFormat/>
    <w:rPr>
      <w:w w:val="100"/>
      <w:position w:val="0"/>
      <w:sz w:val="24"/>
      <w:effect w:val="none"/>
      <w:vertAlign w:val="baseline"/>
      <w:em w:val="none"/>
    </w:rPr>
  </w:style>
  <w:style w:type="character" w:styleId="PlaceholderText">
    <w:name w:val="Placeholder Text"/>
    <w:basedOn w:val="DefaultParagraphFont"/>
    <w:uiPriority w:val="99"/>
    <w:semiHidden/>
    <w:qFormat/>
    <w:rsid w:val="0000529d"/>
    <w:rPr>
      <w:color w:val="808080"/>
    </w:rPr>
  </w:style>
  <w:style w:type="character" w:styleId="LienInternet">
    <w:name w:val="Lien Internet"/>
    <w:basedOn w:val="DefaultParagraphFont"/>
    <w:uiPriority w:val="99"/>
    <w:unhideWhenUsed/>
    <w:rsid w:val="009c5e2e"/>
    <w:rPr>
      <w:color w:val="0000FF" w:themeColor="hyperlink"/>
      <w:u w:val="single"/>
    </w:rPr>
  </w:style>
  <w:style w:type="character" w:styleId="UnresolvedMention">
    <w:name w:val="Unresolved Mention"/>
    <w:basedOn w:val="DefaultParagraphFont"/>
    <w:uiPriority w:val="99"/>
    <w:semiHidden/>
    <w:unhideWhenUsed/>
    <w:qFormat/>
    <w:rsid w:val="009c5e2e"/>
    <w:rPr>
      <w:color w:val="605E5C"/>
      <w:shd w:fill="E1DFDD" w:val="clear"/>
    </w:rPr>
  </w:style>
  <w:style w:type="character" w:styleId="DefaultParagraphFontPHPDOCX">
    <w:name w:val="Default Paragraph Font PHPDOCX"/>
    <w:uiPriority w:val="1"/>
    <w:semiHidden/>
    <w:unhideWhenUsed/>
    <w:qFormat/>
    <w:rPr/>
  </w:style>
  <w:style w:type="character" w:styleId="TitleCarPHPDOCX" w:customStyle="1">
    <w:name w:val="Title Car PHPDOCX"/>
    <w:basedOn w:val="DefaultParagraphFontPHPDOCX"/>
    <w:link w:val="TitlePHPDOCX"/>
    <w:uiPriority w:val="10"/>
    <w:qFormat/>
    <w:rsid w:val="00df064e"/>
    <w:rPr>
      <w:rFonts w:ascii="Calibri" w:hAnsi="Calibri" w:eastAsia="" w:cs="" w:asciiTheme="majorHAnsi" w:cstheme="majorBidi" w:eastAsiaTheme="majorEastAsia" w:hAnsiTheme="majorHAnsi"/>
      <w:color w:val="17365D" w:themeColor="text2" w:themeShade="bf"/>
      <w:spacing w:val="5"/>
      <w:kern w:val="2"/>
      <w:sz w:val="52"/>
      <w:szCs w:val="52"/>
    </w:rPr>
  </w:style>
  <w:style w:type="character" w:styleId="SubtitleCarPHPDOCX" w:customStyle="1">
    <w:name w:val="Subtitle Car PHPDOCX"/>
    <w:basedOn w:val="DefaultParagraphFontPHPDOCX"/>
    <w:link w:val="SubtitlePHPDOCX"/>
    <w:uiPriority w:val="11"/>
    <w:qFormat/>
    <w:rsid w:val="00df064e"/>
    <w:rPr>
      <w:rFonts w:ascii="Calibri" w:hAnsi="Calibri" w:eastAsia="" w:cs="" w:asciiTheme="majorHAnsi" w:cstheme="majorBidi" w:eastAsiaTheme="majorEastAsia" w:hAnsiTheme="majorHAnsi"/>
      <w:i/>
      <w:iCs/>
      <w:color w:val="4F81BD" w:themeColor="accent1"/>
      <w:spacing w:val="15"/>
      <w:sz w:val="24"/>
      <w:szCs w:val="24"/>
    </w:rPr>
  </w:style>
  <w:style w:type="character" w:styleId="AnnotationreferencePHPDOCX">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CommentTextPHPDOCX"/>
    <w:uiPriority w:val="99"/>
    <w:semiHidden/>
    <w:qFormat/>
    <w:rsid w:val="00e139ea"/>
    <w:rPr>
      <w:sz w:val="20"/>
      <w:szCs w:val="20"/>
    </w:rPr>
  </w:style>
  <w:style w:type="character" w:styleId="CommentSubjectCharPHPDOCX" w:customStyle="1">
    <w:name w:val="Comment Subject Char PHPDOCX"/>
    <w:basedOn w:val="CommentTextCharPHPDOCX"/>
    <w:link w:val="Comment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name w:val="endnote Reference PHPDOCX"/>
    <w:basedOn w:val="DefaultParagraphFontPHPDOCX"/>
    <w:uiPriority w:val="99"/>
    <w:semiHidden/>
    <w:unhideWhenUsed/>
    <w:qFormat/>
    <w:rsid w:val="006e0fda"/>
    <w:rPr>
      <w:vertAlign w:val="superscript"/>
    </w:rPr>
  </w:style>
  <w:style w:type="character" w:styleId="ListLabel1">
    <w:name w:val="ListLabel 1"/>
    <w:qFormat/>
    <w:rPr>
      <w:rFonts w:ascii="Century Gothic" w:hAnsi="Century Gothic" w:eastAsia="Century Gothic" w:cs="Century Gothic"/>
      <w:sz w:val="20"/>
    </w:rPr>
  </w:style>
  <w:style w:type="character" w:styleId="ListLabel2">
    <w:name w:val="ListLabel 2"/>
    <w:qFormat/>
    <w:rPr>
      <w:rFonts w:eastAsia="Courier New" w:cs="Courier New"/>
    </w:rPr>
  </w:style>
  <w:style w:type="character" w:styleId="ListLabel3">
    <w:name w:val="ListLabel 3"/>
    <w:qFormat/>
    <w:rPr>
      <w:rFonts w:eastAsia="Noto Sans Symbols" w:cs="Noto Sans Symbols"/>
    </w:rPr>
  </w:style>
  <w:style w:type="character" w:styleId="ListLabel4">
    <w:name w:val="ListLabel 4"/>
    <w:qFormat/>
    <w:rPr>
      <w:rFonts w:eastAsia="Noto Sans Symbols" w:cs="Noto Sans Symbols"/>
    </w:rPr>
  </w:style>
  <w:style w:type="character" w:styleId="ListLabel5">
    <w:name w:val="ListLabel 5"/>
    <w:qFormat/>
    <w:rPr>
      <w:rFonts w:eastAsia="Courier New" w:cs="Courier New"/>
    </w:rPr>
  </w:style>
  <w:style w:type="character" w:styleId="ListLabel6">
    <w:name w:val="ListLabel 6"/>
    <w:qFormat/>
    <w:rPr>
      <w:rFonts w:eastAsia="Noto Sans Symbols" w:cs="Noto Sans Symbols"/>
    </w:rPr>
  </w:style>
  <w:style w:type="character" w:styleId="ListLabel7">
    <w:name w:val="ListLabel 7"/>
    <w:qFormat/>
    <w:rPr>
      <w:rFonts w:eastAsia="Noto Sans Symbols" w:cs="Noto Sans Symbols"/>
    </w:rPr>
  </w:style>
  <w:style w:type="character" w:styleId="ListLabel8">
    <w:name w:val="ListLabel 8"/>
    <w:qFormat/>
    <w:rPr>
      <w:rFonts w:eastAsia="Courier New" w:cs="Courier New"/>
    </w:rPr>
  </w:style>
  <w:style w:type="character" w:styleId="ListLabel9">
    <w:name w:val="ListLabel 9"/>
    <w:qFormat/>
    <w:rPr>
      <w:rFonts w:eastAsia="Noto Sans Symbols" w:cs="Noto Sans Symbols"/>
    </w:rPr>
  </w:style>
  <w:style w:type="character" w:styleId="ListLabel10">
    <w:name w:val="ListLabel 10"/>
    <w:qFormat/>
    <w:rPr>
      <w:rFonts w:ascii="Century Gothic" w:hAnsi="Century Gothic" w:eastAsia="Noto Sans Symbols" w:cs="Noto Sans Symbols"/>
      <w:sz w:val="20"/>
      <w:szCs w:val="20"/>
    </w:rPr>
  </w:style>
  <w:style w:type="character" w:styleId="ListLabel11">
    <w:name w:val="ListLabel 11"/>
    <w:qFormat/>
    <w:rPr>
      <w:rFonts w:eastAsia="Courier New" w:cs="Courier New"/>
      <w:sz w:val="20"/>
      <w:szCs w:val="20"/>
    </w:rPr>
  </w:style>
  <w:style w:type="character" w:styleId="ListLabel12">
    <w:name w:val="ListLabel 12"/>
    <w:qFormat/>
    <w:rPr>
      <w:rFonts w:eastAsia="Noto Sans Symbols" w:cs="Noto Sans Symbols"/>
      <w:sz w:val="20"/>
      <w:szCs w:val="20"/>
    </w:rPr>
  </w:style>
  <w:style w:type="character" w:styleId="ListLabel13">
    <w:name w:val="ListLabel 13"/>
    <w:qFormat/>
    <w:rPr>
      <w:rFonts w:eastAsia="Noto Sans Symbols" w:cs="Noto Sans Symbols"/>
      <w:sz w:val="20"/>
      <w:szCs w:val="20"/>
    </w:rPr>
  </w:style>
  <w:style w:type="character" w:styleId="ListLabel14">
    <w:name w:val="ListLabel 14"/>
    <w:qFormat/>
    <w:rPr>
      <w:rFonts w:eastAsia="Noto Sans Symbols" w:cs="Noto Sans Symbols"/>
      <w:sz w:val="20"/>
      <w:szCs w:val="20"/>
    </w:rPr>
  </w:style>
  <w:style w:type="character" w:styleId="ListLabel15">
    <w:name w:val="ListLabel 15"/>
    <w:qFormat/>
    <w:rPr>
      <w:rFonts w:eastAsia="Noto Sans Symbols" w:cs="Noto Sans Symbols"/>
      <w:sz w:val="20"/>
      <w:szCs w:val="20"/>
    </w:rPr>
  </w:style>
  <w:style w:type="character" w:styleId="ListLabel16">
    <w:name w:val="ListLabel 16"/>
    <w:qFormat/>
    <w:rPr>
      <w:rFonts w:eastAsia="Noto Sans Symbols" w:cs="Noto Sans Symbols"/>
      <w:sz w:val="20"/>
      <w:szCs w:val="20"/>
    </w:rPr>
  </w:style>
  <w:style w:type="character" w:styleId="ListLabel17">
    <w:name w:val="ListLabel 17"/>
    <w:qFormat/>
    <w:rPr>
      <w:rFonts w:eastAsia="Noto Sans Symbols" w:cs="Noto Sans Symbols"/>
      <w:sz w:val="20"/>
      <w:szCs w:val="20"/>
    </w:rPr>
  </w:style>
  <w:style w:type="character" w:styleId="ListLabel18">
    <w:name w:val="ListLabel 18"/>
    <w:qFormat/>
    <w:rPr>
      <w:rFonts w:eastAsia="Noto Sans Symbols" w:cs="Noto Sans Symbols"/>
      <w:sz w:val="20"/>
      <w:szCs w:val="20"/>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reprincipal">
    <w:name w:val="Title"/>
    <w:basedOn w:val="Normal"/>
    <w:next w:val="Normal"/>
    <w:qFormat/>
    <w:pPr>
      <w:pBdr/>
    </w:pPr>
    <w:rPr>
      <w:rFonts w:ascii="Calibri" w:hAnsi="Calibri" w:eastAsia="Calibri" w:cs="Calibri"/>
      <w:color w:val="000000"/>
      <w:sz w:val="56"/>
      <w:szCs w:val="56"/>
    </w:rPr>
  </w:style>
  <w:style w:type="paragraph" w:styleId="Soustitr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Entte">
    <w:name w:val="Header"/>
    <w:basedOn w:val="Normal"/>
    <w:qFormat/>
    <w:pPr/>
    <w:rPr>
      <w:rFonts w:ascii="Calibri" w:hAnsi="Calibri" w:eastAsia="Calibri" w:cs="Calibri"/>
      <w:sz w:val="22"/>
      <w:szCs w:val="22"/>
    </w:rPr>
  </w:style>
  <w:style w:type="paragraph" w:styleId="Pieddepage">
    <w:name w:val="Footer"/>
    <w:basedOn w:val="Normal"/>
    <w:qFormat/>
    <w:pPr/>
    <w:rPr>
      <w:rFonts w:ascii="Calibri" w:hAnsi="Calibri" w:eastAsia="Calibri" w:cs="Calibri"/>
      <w:sz w:val="22"/>
      <w:szCs w:val="22"/>
    </w:rPr>
  </w:style>
  <w:style w:type="paragraph" w:styleId="ListParagraph">
    <w:name w:val="List Paragraph"/>
    <w:basedOn w:val="Normal"/>
    <w:qFormat/>
    <w:pPr>
      <w:spacing w:before="0" w:after="0"/>
      <w:ind w:left="720" w:hanging="1"/>
      <w:contextualSpacing/>
    </w:pPr>
    <w:rPr/>
  </w:style>
  <w:style w:type="paragraph" w:styleId="NormalWeb">
    <w:name w:val="Normal (Web)"/>
    <w:basedOn w:val="Normal"/>
    <w:qFormat/>
    <w:pPr>
      <w:spacing w:beforeAutospacing="1" w:afterAutospacing="1"/>
    </w:pPr>
    <w:rPr/>
  </w:style>
  <w:style w:type="paragraph" w:styleId="ListParagraphPHPDOCX">
    <w:name w:val="List Paragraph PHPDOCX"/>
    <w:basedOn w:val="Normal"/>
    <w:uiPriority w:val="34"/>
    <w:qFormat/>
    <w:rsid w:val="00df064e"/>
    <w:pPr>
      <w:spacing w:before="0" w:after="0"/>
      <w:ind w:left="720" w:hanging="1"/>
      <w:contextualSpacing/>
    </w:pPr>
    <w:rPr/>
  </w:style>
  <w:style w:type="paragraph" w:styleId="TitlePHPDOCX">
    <w:name w:val="Title PHPDOCX"/>
    <w:basedOn w:val="Normal"/>
    <w:next w:val="Normal"/>
    <w:link w:val="TitleCarPHPDOCX"/>
    <w:uiPriority w:val="10"/>
    <w:qFormat/>
    <w:rsid w:val="00df064e"/>
    <w:pPr>
      <w:pBdr>
        <w:bottom w:val="single" w:sz="8" w:space="4" w:color="4F81BD"/>
      </w:pBdr>
      <w:spacing w:lineRule="auto" w:line="240" w:before="0" w:after="300"/>
      <w:contextualSpacing/>
    </w:pPr>
    <w:rPr>
      <w:rFonts w:ascii="Calibri" w:hAnsi="Calibri" w:eastAsia="" w:cs="" w:asciiTheme="majorHAnsi" w:cstheme="majorBidi" w:eastAsiaTheme="majorEastAsia" w:hAnsiTheme="majorHAnsi"/>
      <w:color w:val="17365D" w:themeColor="text2" w:themeShade="bf"/>
      <w:spacing w:val="5"/>
      <w:kern w:val="2"/>
      <w:sz w:val="52"/>
      <w:szCs w:val="52"/>
    </w:rPr>
  </w:style>
  <w:style w:type="paragraph" w:styleId="SubtitlePHPDOCX">
    <w:name w:val="Subtitle PHPDOCX"/>
    <w:basedOn w:val="Normal"/>
    <w:next w:val="Normal"/>
    <w:link w:val="SubtitleCarPHPDOCX"/>
    <w:uiPriority w:val="11"/>
    <w:qFormat/>
    <w:rsid w:val="00df064e"/>
    <w:pPr/>
    <w:rPr>
      <w:rFonts w:ascii="Calibri" w:hAnsi="Calibri" w:eastAsia="" w:cs="" w:asciiTheme="majorHAnsi" w:cstheme="majorBidi" w:eastAsiaTheme="majorEastAsia" w:hAnsiTheme="majorHAnsi"/>
      <w:i/>
      <w:iCs/>
      <w:color w:val="4F81BD" w:themeColor="accent1"/>
      <w:spacing w:val="15"/>
      <w:sz w:val="24"/>
      <w:szCs w:val="24"/>
    </w:rPr>
  </w:style>
  <w:style w:type="paragraph" w:styleId="AnnotationtextPHPDOCX">
    <w:name w:val="annotation text PHPDOCX"/>
    <w:basedOn w:val="Normal"/>
    <w:link w:val="CommentTextCharPHPDOCX"/>
    <w:uiPriority w:val="99"/>
    <w:semiHidden/>
    <w:unhideWhenUsed/>
    <w:qFormat/>
    <w:rsid w:val="00e139ea"/>
    <w:pPr>
      <w:spacing w:lineRule="auto" w:line="240"/>
    </w:pPr>
    <w:rPr>
      <w:sz w:val="20"/>
      <w:szCs w:val="20"/>
    </w:rPr>
  </w:style>
  <w:style w:type="paragraph" w:styleId="AnnotationsubjectPHPDOCX">
    <w:name w:val="annotation subject PHPDOCX"/>
    <w:basedOn w:val="AnnotationtextPHPDOCX"/>
    <w:link w:val="CommentSubjectCharPHPDOCX"/>
    <w:uiPriority w:val="99"/>
    <w:semiHidden/>
    <w:unhideWhenUsed/>
    <w:qFormat/>
    <w:rsid w:val="00e139ea"/>
    <w:pPr/>
    <w:rPr>
      <w:b/>
      <w:bCs/>
    </w:rPr>
  </w:style>
  <w:style w:type="paragraph" w:styleId="BalloonTextPHPDOCX">
    <w:name w:val="Balloon Text PHPDOCX"/>
    <w:basedOn w:val="Normal"/>
    <w:link w:val="BalloonTextCharPHPDOCX"/>
    <w:uiPriority w:val="99"/>
    <w:semiHidden/>
    <w:unhideWhenUsed/>
    <w:qFormat/>
    <w:rsid w:val="00e139ea"/>
    <w:pPr>
      <w:spacing w:lineRule="auto" w:line="240" w:before="0" w:after="0"/>
    </w:pPr>
    <w:rPr>
      <w:rFonts w:ascii="Tahoma" w:hAnsi="Tahoma" w:cs="Tahoma"/>
      <w:sz w:val="16"/>
      <w:szCs w:val="16"/>
    </w:rPr>
  </w:style>
  <w:style w:type="paragraph" w:styleId="FootnoteTextPHPDOCX">
    <w:name w:val="footnote Text PHPDOCX"/>
    <w:basedOn w:val="Normal"/>
    <w:link w:val="footnoteTextCarPHPDOCX"/>
    <w:uiPriority w:val="99"/>
    <w:semiHidden/>
    <w:unhideWhenUsed/>
    <w:qFormat/>
    <w:rsid w:val="006e0fda"/>
    <w:pPr>
      <w:spacing w:lineRule="auto" w:line="240" w:before="0" w:after="0"/>
    </w:pPr>
    <w:rPr>
      <w:sz w:val="20"/>
      <w:szCs w:val="20"/>
    </w:rPr>
  </w:style>
  <w:style w:type="paragraph" w:styleId="EndnoteTextPHPDOCX">
    <w:name w:val="endnote Text PHPDOCX"/>
    <w:basedOn w:val="Normal"/>
    <w:link w:val="endnoteTextCarPHPDOCX"/>
    <w:uiPriority w:val="99"/>
    <w:semiHidden/>
    <w:unhideWhenUsed/>
    <w:qFormat/>
    <w:rsid w:val="006e0fda"/>
    <w:pPr>
      <w:spacing w:lineRule="auto" w:line="240" w:before="0" w:after="0"/>
    </w:pPr>
    <w:rPr>
      <w:sz w:val="20"/>
      <w:szCs w:val="20"/>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pPr>
      <w:spacing w:after="160" w:line="259" w:lineRule="auto"/>
    </w:pPr>
    <w:rPr>
      <w:sz w:val="22"/>
      <w:szCs w:val="22"/>
    </w:rPr>
    <w:tblPr>
      <w:tblCellMar>
        <w:top w:w="0" w:type="dxa"/>
        <w:left w:w="0" w:type="dxa"/>
        <w:bottom w:w="0" w:type="dxa"/>
        <w:right w:w="0" w:type="dxa"/>
      </w:tblCellMar>
    </w:tblPr>
  </w:style>
  <w:style w:type="table" w:customStyle="1" w:styleId="TableNormal1">
    <w:name w:val="Table Normal"/>
    <w:pPr>
      <w:spacing w:after="160" w:line="259" w:lineRule="auto"/>
    </w:pPr>
    <w:rPr>
      <w:sz w:val="22"/>
      <w:szCs w:val="22"/>
    </w:rPr>
    <w:tblPr>
      <w:tblCellMar>
        <w:top w:w="0" w:type="dxa"/>
        <w:left w:w="0" w:type="dxa"/>
        <w:bottom w:w="0" w:type="dxa"/>
        <w:right w:w="0" w:type="dxa"/>
      </w:tblCellMar>
    </w:tbl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glossaryDocument" Target="glossary/document.xml"/><Relationship Id="rId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énéral"/>
          <w:gallery w:val="placeholder"/>
        </w:category>
        <w:types>
          <w:type w:val="bbPlcHdr"/>
        </w:types>
        <w:behaviors>
          <w:behavior w:val="content"/>
        </w:behaviors>
        <w:guid w:val="{8AFC691E-3B3A-4383-BBA1-6C0057E2EF67}"/>
      </w:docPartPr>
      <w:docPartBody>
        <w:p w:rsidR="00AE0AA5" w:rsidRDefault="00B67A33">
          <w:r w:rsidRPr="00580339">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A33"/>
    <w:rsid w:val="00037AB6"/>
    <w:rsid w:val="00067813"/>
    <w:rsid w:val="000A16D2"/>
    <w:rsid w:val="001C119D"/>
    <w:rsid w:val="002C53C2"/>
    <w:rsid w:val="003162BA"/>
    <w:rsid w:val="003517DB"/>
    <w:rsid w:val="004A58FE"/>
    <w:rsid w:val="004F5AED"/>
    <w:rsid w:val="00520573"/>
    <w:rsid w:val="005A225C"/>
    <w:rsid w:val="006E2298"/>
    <w:rsid w:val="007A7078"/>
    <w:rsid w:val="009C053F"/>
    <w:rsid w:val="009F0579"/>
    <w:rsid w:val="009F1D21"/>
    <w:rsid w:val="00AC3140"/>
    <w:rsid w:val="00AE0AA5"/>
    <w:rsid w:val="00B67A33"/>
    <w:rsid w:val="00C92F36"/>
    <w:rsid w:val="00D735BE"/>
    <w:rsid w:val="00DB4DFC"/>
    <w:rsid w:val="00E82D9C"/>
    <w:rsid w:val="00F57776"/>
    <w:rsid w:val="00FC4227"/>
    <w:rsid w:val="00FC50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5777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jY/cvVi2SyaCcYF5fek7GYdPyndg==">AMUW2mWKis3z2ygIamhqmd5lb7fvPIEQITGi16kzdpB3dTQQytf7OwHpfy4BRG2wwyg+4xsSjS3RE5e0AXbpZzZFNoA2vznGeZV/p3YJqulhWO+HjQC6MVLZmVvpt/k+baQvUaLdz3I1FeYtchotriqFItyHO9q1c/xmMMnIlLjPTOUA2OW3c2XhIm/fqHOyFtjOQpaGZQub0PZlMF1krGPCv1FwYqV+imppFZ6RzS2VIqm7ImJWpKg=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Application>LibreOffice/5.4.6.2$Windows_X86_64 LibreOffice_project/4014ce260a04f1026ba855d3b8d91541c224eab8</Application>
  <Pages>11</Pages>
  <Words>2828</Words>
  <Characters>15214</Characters>
  <CharactersWithSpaces>18035</CharactersWithSpaces>
  <Paragraphs>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2023-04-17T16:57:00Z</dcterms:created>
  <dc:creator>Pascale Martel-Fils</dc:creator>
  <dc:description/>
  <dc:language>fr-FR</dc:language>
  <cp:lastModifiedBy/>
  <dcterms:modified xsi:type="dcterms:W3CDTF">2026-09-03T14:32:37Z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