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1" w:hanging="3"/>
        <w:jc w:val="center"/>
        <w:rPr>
          <w:rFonts w:ascii="Century Gothic" w:hAnsi="Century Gothic" w:eastAsia="Century Gothic" w:cs="Century Gothic"/>
          <w:color w:val="000000"/>
          <w:sz w:val="28"/>
          <w:szCs w:val="28"/>
        </w:rPr>
      </w:pPr>
      <w:bookmarkStart w:id="0" w:name="_heading=h.gjdgxs"/>
      <w:bookmarkEnd w:id="0"/>
      <w:r>
        <w:rPr>
          <w:rFonts w:eastAsia="Century Gothic" w:cs="Century Gothic" w:ascii="Century Gothic" w:hAnsi="Century Gothic"/>
          <w:b/>
          <w:bCs/>
          <w:color w:val="000000"/>
          <w:sz w:val="28"/>
          <w:szCs w:val="28"/>
        </w:rPr>
        <w:t>« Animer des ateliers de philosophie pour enfants et adolescents</w:t>
      </w:r>
      <w:r>
        <w:rPr>
          <w:rFonts w:eastAsia="Century Gothic" w:cs="Century Gothic" w:ascii="Century Gothic" w:hAnsi="Century Gothic"/>
          <w:color w:val="000000"/>
          <w:sz w:val="28"/>
          <w:szCs w:val="28"/>
        </w:rPr>
        <w:t xml:space="preserve"> </w:t>
      </w:r>
      <w:r>
        <w:rPr>
          <w:rFonts w:eastAsia="Century Gothic" w:cs="Century Gothic" w:ascii="Century Gothic" w:hAnsi="Century Gothic"/>
          <w:b/>
          <w:bCs/>
          <w:color w:val="000000"/>
          <w:sz w:val="28"/>
          <w:szCs w:val="28"/>
        </w:rPr>
        <w:t>»</w:t>
      </w:r>
    </w:p>
    <w:p>
      <w:pPr>
        <w:pStyle w:val="Normal"/>
        <w:ind w:left="1" w:hanging="3"/>
        <w:jc w:val="center"/>
        <w:rPr>
          <w:rFonts w:ascii="Century Gothic" w:hAnsi="Century Gothic" w:eastAsia="Century Gothic" w:cs="Century Gothic"/>
          <w:color w:val="000000"/>
          <w:sz w:val="28"/>
          <w:szCs w:val="28"/>
        </w:rPr>
      </w:pPr>
      <w:r>
        <w:rPr>
          <w:rFonts w:eastAsia="Century Gothic" w:cs="Century Gothic" w:ascii="Century Gothic" w:hAnsi="Century Gothic"/>
          <w:color w:val="000000"/>
          <w:sz w:val="28"/>
          <w:szCs w:val="28"/>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Public :</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Professionnels et futurs professionnels intervenant auprès d’enfants et d’adolescents souhaitant développer des compétences en animation d’ateliers philosophiques.</w:t>
      </w:r>
    </w:p>
    <w:p>
      <w:pPr>
        <w:pStyle w:val="Normal"/>
        <w:ind w:left="0" w:hanging="2"/>
        <w:rPr>
          <w:rFonts w:ascii="Century Gothic" w:hAnsi="Century Gothic" w:eastAsia="Century Gothic" w:cs="Century Gothic"/>
        </w:rPr>
      </w:pPr>
      <w:r>
        <w:rPr>
          <w:rFonts w:eastAsia="Century Gothic" w:cs="Century Gothic" w:ascii="Century Gothic" w:hAnsi="Century Gothic"/>
        </w:rPr>
      </w:r>
    </w:p>
    <w:p>
      <w:pPr>
        <w:pStyle w:val="Normal"/>
        <w:ind w:left="0" w:hanging="2"/>
        <w:rPr>
          <w:rFonts w:ascii="Century Gothic" w:hAnsi="Century Gothic" w:eastAsia="Century Gothic" w:cs="Century Gothic"/>
        </w:rPr>
      </w:pPr>
      <w:r>
        <w:rPr>
          <w:rFonts w:eastAsia="Century Gothic" w:cs="Century Gothic" w:ascii="Century Gothic" w:hAnsi="Century Gothic"/>
        </w:rPr>
      </w:r>
    </w:p>
    <w:p>
      <w:pPr>
        <w:pStyle w:val="Normal"/>
        <w:ind w:left="1" w:hanging="3"/>
        <w:rPr>
          <w:rFonts w:ascii="Century Gothic" w:hAnsi="Century Gothic" w:eastAsia="Century Gothic" w:cs="Century Gothic"/>
          <w:sz w:val="26"/>
          <w:szCs w:val="26"/>
          <w:u w:val="single"/>
        </w:rPr>
      </w:pPr>
      <w:r>
        <w:rPr>
          <w:rFonts w:eastAsia="Century Gothic" w:cs="Century Gothic" w:ascii="Century Gothic" w:hAnsi="Century Gothic"/>
          <w:sz w:val="26"/>
          <w:szCs w:val="26"/>
          <w:u w:val="single"/>
        </w:rPr>
        <w:t xml:space="preserve">Prérequis : </w:t>
      </w:r>
    </w:p>
    <w:p>
      <w:pPr>
        <w:pStyle w:val="Normal"/>
        <w:ind w:left="0" w:hanging="2"/>
        <w:rPr>
          <w:rFonts w:ascii="Century Gothic" w:hAnsi="Century Gothic" w:eastAsia="Century Gothic" w:cs="Century Gothic"/>
          <w:sz w:val="20"/>
          <w:szCs w:val="20"/>
        </w:rPr>
      </w:pPr>
      <w:r>
        <w:rPr>
          <w:rFonts w:eastAsia="Century Gothic" w:cs="Century Gothic" w:ascii="Century Gothic" w:hAnsi="Century Gothic"/>
          <w:sz w:val="20"/>
          <w:szCs w:val="20"/>
        </w:rPr>
        <w:t>Maîtriser l’expression orale et écrite en langue française</w:t>
      </w:r>
    </w:p>
    <w:p>
      <w:pPr>
        <w:pStyle w:val="Normal"/>
        <w:ind w:left="0" w:hanging="2"/>
        <w:rPr>
          <w:rFonts w:ascii="Century Gothic" w:hAnsi="Century Gothic" w:eastAsia="Century Gothic" w:cs="Century Gothic"/>
          <w:color w:val="000000"/>
        </w:rPr>
      </w:pPr>
      <w:r>
        <w:rPr>
          <w:rFonts w:eastAsia="Century Gothic" w:cs="Century Gothic" w:ascii="Century Gothic" w:hAnsi="Century Gothic"/>
          <w:color w:val="000000"/>
        </w:rPr>
      </w:r>
    </w:p>
    <w:p>
      <w:pPr>
        <w:pStyle w:val="Normal"/>
        <w:ind w:left="0" w:hanging="2"/>
        <w:rPr>
          <w:rFonts w:ascii="Century Gothic" w:hAnsi="Century Gothic" w:eastAsia="Century Gothic" w:cs="Century Gothic"/>
          <w:color w:val="000000"/>
        </w:rPr>
      </w:pPr>
      <w:bookmarkStart w:id="1" w:name="_heading=h.30j0zll"/>
      <w:bookmarkStart w:id="2" w:name="_heading=h.30j0zll"/>
      <w:bookmarkEnd w:id="2"/>
      <w:r>
        <w:rPr>
          <w:rFonts w:eastAsia="Century Gothic" w:cs="Century Gothic" w:ascii="Century Gothic" w:hAnsi="Century Gothic"/>
          <w:color w:val="000000"/>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 xml:space="preserve">Durée de formation : </w:t>
      </w:r>
    </w:p>
    <w:p>
      <w:pPr>
        <w:pStyle w:val="Normal"/>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24 heures</w:t>
      </w:r>
    </w:p>
    <w:p>
      <w:pPr>
        <w:pStyle w:val="Normal"/>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8 jours</w:t>
      </w:r>
    </w:p>
    <w:p>
      <w:pPr>
        <w:pStyle w:val="Normal"/>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 xml:space="preserve">Inscription : </w:t>
      </w:r>
    </w:p>
    <w:p>
      <w:pPr>
        <w:pStyle w:val="Normal"/>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Pour toute demande d’inscription, veuillez nous contacter au 06 22 10 01 72  ou par email : lespetitsphilo@lespetitsphilo.com</w:t>
      </w:r>
    </w:p>
    <w:p>
      <w:pPr>
        <w:pStyle w:val="Normal"/>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spacing w:lineRule="auto" w:line="360" w:before="28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Objectifs :</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À l’issue de la formation, le stagiaire sera capable de concevoir, structurer et animer des ateliers de philosophie destinés aux enfants et adolescents en mobilisant des méthodes pédagogiques adaptées, des techniques de questionnement philosophique et des outils d’évaluation professionnelle.</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ind w:left="0" w:hanging="2"/>
        <w:rPr>
          <w:rFonts w:ascii="Century Gothic" w:hAnsi="Century Gothic" w:eastAsia="Century Gothic" w:cs="Century Gothic"/>
          <w:color w:val="000000"/>
          <w:sz w:val="20"/>
          <w:szCs w:val="20"/>
        </w:rPr>
      </w:pPr>
      <w:bookmarkStart w:id="3" w:name="_heading=h.1fob9te"/>
      <w:bookmarkStart w:id="4" w:name="_heading=h.1fob9te"/>
      <w:bookmarkEnd w:id="4"/>
      <w:r>
        <w:rPr>
          <w:rFonts w:eastAsia="Century Gothic" w:cs="Century Gothic" w:ascii="Century Gothic" w:hAnsi="Century Gothic"/>
          <w:color w:val="000000"/>
          <w:sz w:val="20"/>
          <w:szCs w:val="20"/>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Moyen et modalité :</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A distance</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Alternance de théorie et pratique</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keepNext w:val="true"/>
        <w:keepLines/>
        <w:spacing w:lineRule="auto" w:line="259" w:before="40" w:after="0"/>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À l’issue de la période de formation le stagiaire se verra remettre son relevé de connexion certifié par le centre de formation pour contre-signature.</w:t>
      </w:r>
    </w:p>
    <w:p>
      <w:pPr>
        <w:pStyle w:val="Normal"/>
        <w:ind w:left="0" w:hanging="2"/>
        <w:rPr>
          <w:rFonts w:ascii="Century Gothic" w:hAnsi="Century Gothic" w:eastAsia="Century Gothic" w:cs="Century Gothic"/>
          <w:color w:val="000000"/>
        </w:rPr>
      </w:pPr>
      <w:r>
        <w:rPr>
          <w:rFonts w:eastAsia="Century Gothic" w:cs="Century Gothic" w:ascii="Century Gothic" w:hAnsi="Century Gothic"/>
          <w:color w:val="000000"/>
        </w:rPr>
      </w:r>
    </w:p>
    <w:p>
      <w:pPr>
        <w:pStyle w:val="Normal"/>
        <w:keepNext w:val="true"/>
        <w:keepLines/>
        <w:spacing w:lineRule="auto" w:line="259" w:before="40" w:after="0"/>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bookmarkStart w:id="5" w:name="_heading=h.3znysh7"/>
      <w:bookmarkEnd w:id="5"/>
      <w:r>
        <w:rPr>
          <w:rFonts w:eastAsia="Century Gothic" w:cs="Century Gothic" w:ascii="Century Gothic" w:hAnsi="Century Gothic"/>
          <w:color w:val="000000"/>
          <w:sz w:val="26"/>
          <w:szCs w:val="26"/>
          <w:u w:val="single"/>
        </w:rPr>
        <w:t>Moyens Techniques :</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Table, chaise, ordinateur, connexion internet, microphone, hauts parleurs, webcam, supports pédagogiques</w:t>
      </w:r>
    </w:p>
    <w:p>
      <w:pPr>
        <w:pStyle w:val="Normal"/>
        <w:ind w:left="0" w:hanging="2"/>
        <w:rPr>
          <w:rFonts w:ascii="Century Gothic" w:hAnsi="Century Gothic" w:eastAsia="Century Gothic" w:cs="Century Gothic"/>
          <w:color w:val="000000"/>
          <w:sz w:val="20"/>
          <w:szCs w:val="20"/>
          <w:highlight w:val="white"/>
        </w:rPr>
      </w:pPr>
      <w:r>
        <w:rPr>
          <w:rFonts w:eastAsia="Century Gothic" w:cs="Century Gothic" w:ascii="Century Gothic" w:hAnsi="Century Gothic"/>
          <w:color w:val="000000"/>
          <w:sz w:val="20"/>
          <w:szCs w:val="20"/>
          <w:highlight w:val="white"/>
        </w:rPr>
      </w:r>
    </w:p>
    <w:p>
      <w:pPr>
        <w:pStyle w:val="Normal"/>
        <w:ind w:left="0" w:hanging="2"/>
        <w:rPr>
          <w:rFonts w:ascii="Century Gothic" w:hAnsi="Century Gothic" w:eastAsia="Century Gothic" w:cs="Century Gothic"/>
          <w:color w:val="000000"/>
          <w:sz w:val="20"/>
          <w:szCs w:val="20"/>
          <w:highlight w:val="white"/>
        </w:rPr>
      </w:pPr>
      <w:r>
        <w:rPr>
          <w:rFonts w:eastAsia="Century Gothic" w:cs="Century Gothic" w:ascii="Century Gothic" w:hAnsi="Century Gothic"/>
          <w:color w:val="000000"/>
          <w:sz w:val="20"/>
          <w:szCs w:val="20"/>
          <w:highlight w:val="white"/>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Adaptation et suivi de la formation :</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highlight w:val="white"/>
        </w:rPr>
        <w:t xml:space="preserve">Un suivi de la formation </w:t>
      </w:r>
      <w:r>
        <w:rPr>
          <w:rFonts w:eastAsia="Century Gothic" w:cs="Century Gothic" w:ascii="Century Gothic" w:hAnsi="Century Gothic"/>
          <w:sz w:val="20"/>
          <w:szCs w:val="20"/>
          <w:highlight w:val="white"/>
        </w:rPr>
        <w:t>et de l' accompagnement</w:t>
      </w:r>
      <w:r>
        <w:rPr>
          <w:rFonts w:eastAsia="Century Gothic" w:cs="Century Gothic" w:ascii="Century Gothic" w:hAnsi="Century Gothic"/>
          <w:color w:val="000000"/>
          <w:sz w:val="20"/>
          <w:szCs w:val="20"/>
          <w:highlight w:val="white"/>
        </w:rPr>
        <w:t xml:space="preserve"> seront réalisés tout au long de la formation. La formation pourra être adaptée pour </w:t>
      </w:r>
      <w:r>
        <w:rPr>
          <w:rFonts w:eastAsia="Century Gothic" w:cs="Century Gothic" w:ascii="Century Gothic" w:hAnsi="Century Gothic"/>
          <w:sz w:val="20"/>
          <w:szCs w:val="20"/>
          <w:highlight w:val="white"/>
        </w:rPr>
        <w:t>pallier</w:t>
      </w:r>
      <w:r>
        <w:rPr>
          <w:rFonts w:eastAsia="Century Gothic" w:cs="Century Gothic" w:ascii="Century Gothic" w:hAnsi="Century Gothic"/>
          <w:color w:val="000000"/>
          <w:sz w:val="20"/>
          <w:szCs w:val="20"/>
          <w:highlight w:val="white"/>
        </w:rPr>
        <w:t xml:space="preserve"> des difficultés majeures rencontrées par l’apprenant.</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ind w:left="0" w:hanging="2"/>
        <w:rPr>
          <w:rFonts w:ascii="Century Gothic" w:hAnsi="Century Gothic" w:eastAsia="Century Gothic" w:cs="Century Gothic"/>
          <w:color w:val="000000"/>
        </w:rPr>
      </w:pPr>
      <w:bookmarkStart w:id="6" w:name="_heading=h.tyjcwt"/>
      <w:bookmarkStart w:id="7" w:name="_heading=h.tyjcwt"/>
      <w:bookmarkEnd w:id="7"/>
      <w:r>
        <w:rPr>
          <w:rFonts w:eastAsia="Century Gothic" w:cs="Century Gothic" w:ascii="Century Gothic" w:hAnsi="Century Gothic"/>
          <w:color w:val="000000"/>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Évaluation de parcours :</w:t>
      </w:r>
    </w:p>
    <w:p>
      <w:pPr>
        <w:pStyle w:val="Normal"/>
        <w:widowControl w:val="false"/>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Le contrôle de connaissances permettant de vérifier le niveau de connaissances acquis par les Stagiaires est effectué selon les modalités suivantes :</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s>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Questionnaire</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s>
        <w:ind w:left="0" w:hanging="2"/>
        <w:rPr>
          <w:rFonts w:ascii="Century Gothic" w:hAnsi="Century Gothic" w:eastAsia="Century Gothic" w:cs="Century Gothic"/>
          <w:color w:val="000000"/>
          <w:sz w:val="18"/>
          <w:szCs w:val="18"/>
        </w:rPr>
      </w:pPr>
      <w:r>
        <w:rPr>
          <w:rFonts w:eastAsia="Century Gothic" w:cs="Century Gothic" w:ascii="Century Gothic" w:hAnsi="Century Gothic"/>
          <w:color w:val="000000"/>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s>
        <w:ind w:left="0" w:hanging="2"/>
        <w:rPr>
          <w:rFonts w:ascii="Century Gothic" w:hAnsi="Century Gothic" w:eastAsia="Century Gothic" w:cs="Century Gothic"/>
          <w:color w:val="000000"/>
          <w:sz w:val="18"/>
          <w:szCs w:val="18"/>
        </w:rPr>
      </w:pPr>
      <w:bookmarkStart w:id="8" w:name="_heading=h.3dy6vkm"/>
      <w:bookmarkStart w:id="9" w:name="_heading=h.3dy6vkm"/>
      <w:bookmarkEnd w:id="9"/>
      <w:r>
        <w:rPr>
          <w:rFonts w:eastAsia="Century Gothic" w:cs="Century Gothic" w:ascii="Century Gothic" w:hAnsi="Century Gothic"/>
          <w:color w:val="000000"/>
          <w:sz w:val="18"/>
          <w:szCs w:val="18"/>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Délai d’accès :</w:t>
      </w:r>
    </w:p>
    <w:p>
      <w:pPr>
        <w:pStyle w:val="Normal"/>
        <w:widowControl w:val="false"/>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Un délai minimum et incompressible de 14 jours entre l'inscription et l’accès à la formation est appliqué.</w:t>
      </w:r>
    </w:p>
    <w:p>
      <w:pPr>
        <w:pStyle w:val="Normal"/>
        <w:widowControl w:val="false"/>
        <w:ind w:left="0" w:hanging="2"/>
        <w:rPr>
          <w:rFonts w:ascii="Century Gothic" w:hAnsi="Century Gothic" w:eastAsia="Century Gothic" w:cs="Century Gothic"/>
          <w:color w:val="000000"/>
        </w:rPr>
      </w:pPr>
      <w:bookmarkStart w:id="10" w:name="_heading=h.1t3h5sf"/>
      <w:bookmarkStart w:id="11" w:name="_heading=h.1t3h5sf"/>
      <w:bookmarkEnd w:id="11"/>
      <w:r>
        <w:rPr>
          <w:rFonts w:eastAsia="Century Gothic" w:cs="Century Gothic" w:ascii="Century Gothic" w:hAnsi="Century Gothic"/>
          <w:color w:val="000000"/>
        </w:rPr>
      </w:r>
    </w:p>
    <w:p>
      <w:pPr>
        <w:pStyle w:val="Normal"/>
        <w:spacing w:lineRule="auto" w:line="360" w:before="360" w:after="0"/>
        <w:ind w:left="1" w:hanging="3"/>
        <w:jc w:val="both"/>
        <w:rPr>
          <w:rFonts w:ascii="Century Gothic" w:hAnsi="Century Gothic" w:eastAsia="Century Gothic" w:cs="Century Gothic"/>
          <w:color w:val="000000"/>
          <w:sz w:val="26"/>
          <w:szCs w:val="26"/>
        </w:rPr>
      </w:pPr>
      <w:r>
        <w:rPr>
          <w:rFonts w:eastAsia="Century Gothic" w:cs="Century Gothic" w:ascii="Century Gothic" w:hAnsi="Century Gothic"/>
          <w:color w:val="000000"/>
          <w:sz w:val="26"/>
          <w:szCs w:val="26"/>
          <w:u w:val="single"/>
        </w:rPr>
        <w:t>Handicap</w:t>
      </w:r>
      <w:r>
        <w:rPr>
          <w:rFonts w:eastAsia="Century Gothic" w:cs="Century Gothic" w:ascii="Century Gothic" w:hAnsi="Century Gothic"/>
          <w:color w:val="000000"/>
          <w:sz w:val="26"/>
          <w:szCs w:val="26"/>
        </w:rPr>
        <w:t xml:space="preserve"> :</w:t>
      </w:r>
    </w:p>
    <w:p>
      <w:pPr>
        <w:pStyle w:val="Normal"/>
        <w:ind w:left="0" w:hanging="2"/>
        <w:jc w:val="both"/>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Toutes les formations dispensées à  Nadia THUILLIERS sont accessibles aux personnes en situation de handicap. Lors de l’inscription à nos formations, nous étudions avec le candidat en situation de handicap et à travers un questionnaire les actions que nous pouvons mettre en place pour favoriser son apprentissage.</w:t>
      </w:r>
    </w:p>
    <w:p>
      <w:pPr>
        <w:pStyle w:val="Normal"/>
        <w:ind w:left="0" w:hanging="2"/>
        <w:jc w:val="both"/>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Pour cela, nous pouvons également nous appuyer sur un réseau de partenaires nationaux préalablement identifiés.</w:t>
      </w:r>
    </w:p>
    <w:p>
      <w:pPr>
        <w:pStyle w:val="Normal"/>
        <w:widowControl w:val="false"/>
        <w:ind w:left="0" w:hanging="2"/>
        <w:rPr>
          <w:rFonts w:ascii="Century Gothic" w:hAnsi="Century Gothic" w:eastAsia="Century Gothic" w:cs="Century Gothic"/>
          <w:color w:val="FF0000"/>
          <w:sz w:val="20"/>
          <w:szCs w:val="20"/>
        </w:rPr>
      </w:pPr>
      <w:r>
        <w:rPr>
          <w:rFonts w:eastAsia="Century Gothic" w:cs="Century Gothic" w:ascii="Century Gothic" w:hAnsi="Century Gothic"/>
          <w:color w:val="000000"/>
          <w:sz w:val="20"/>
          <w:szCs w:val="20"/>
        </w:rPr>
        <w:t xml:space="preserve">Coordonnées des partenaires handicap : </w:t>
      </w:r>
    </w:p>
    <w:p>
      <w:pPr>
        <w:pStyle w:val="Normal"/>
        <w:widowControl/>
        <w:spacing w:lineRule="auto" w:line="240" w:before="150" w:after="150"/>
        <w:ind w:left="0" w:right="0" w:hanging="1"/>
        <w:jc w:val="left"/>
        <w:rPr/>
      </w:pPr>
      <w:r>
        <w:rPr>
          <w:rFonts w:eastAsia="Century Gothic" w:cs="Century Gothic" w:ascii="Century Gothic" w:hAnsi="Century Gothic"/>
          <w:b/>
          <w:bCs/>
          <w:color w:val="000000"/>
          <w:sz w:val="15"/>
          <w:szCs w:val="15"/>
        </w:rPr>
        <w:t>AGEFIPH</w:t>
      </w:r>
      <w:r>
        <w:rPr>
          <w:rFonts w:eastAsia="Century Gothic" w:cs="Century Gothic" w:ascii="Century Gothic" w:hAnsi="Century Gothic"/>
          <w:color w:val="000000"/>
          <w:sz w:val="15"/>
          <w:szCs w:val="15"/>
        </w:rPr>
        <w:br/>
        <w:t>Hélène Patry Heintz Aline DA DALTO</w:t>
        <w:br/>
        <w:t>04 42 93 15 50</w:t>
        <w:br/>
        <w:t>rhf-provence-alpes-cotedazur@agefiph.asso.fr</w:t>
      </w:r>
    </w:p>
    <w:p>
      <w:pPr>
        <w:pStyle w:val="Normal"/>
        <w:widowControl/>
        <w:spacing w:lineRule="auto" w:line="240" w:before="150" w:after="150"/>
        <w:ind w:left="0" w:right="0" w:hanging="1"/>
        <w:jc w:val="left"/>
        <w:rPr/>
      </w:pPr>
      <w:r>
        <w:rPr>
          <w:rFonts w:eastAsia="Century Gothic" w:cs="Century Gothic" w:ascii="Century Gothic" w:hAnsi="Century Gothic"/>
          <w:b/>
          <w:bCs/>
          <w:color w:val="000000"/>
          <w:sz w:val="15"/>
          <w:szCs w:val="15"/>
        </w:rPr>
        <w:t>MDPH</w:t>
      </w:r>
      <w:r>
        <w:rPr>
          <w:rFonts w:eastAsia="Century Gothic" w:cs="Century Gothic" w:ascii="Century Gothic" w:hAnsi="Century Gothic"/>
          <w:color w:val="000000"/>
          <w:sz w:val="15"/>
          <w:szCs w:val="15"/>
        </w:rPr>
        <w:br/>
        <w:t>MDPH06 27, boulevard Paul Montel Nice Leader Bâtiment Ariane 06200 Nice</w:t>
        <w:br/>
        <w:t>0 805 560 580</w:t>
        <w:br/>
        <w:t>mdph@cg06.fr</w:t>
      </w:r>
    </w:p>
    <w:p>
      <w:pPr>
        <w:pStyle w:val="Normal"/>
        <w:widowControl/>
        <w:spacing w:lineRule="auto" w:line="240" w:before="150" w:after="150"/>
        <w:ind w:left="0" w:right="0" w:hanging="1"/>
        <w:jc w:val="left"/>
        <w:rPr/>
      </w:pPr>
      <w:r>
        <w:rPr>
          <w:rFonts w:eastAsia="Century Gothic" w:cs="Century Gothic" w:ascii="Century Gothic" w:hAnsi="Century Gothic"/>
          <w:b/>
          <w:bCs/>
          <w:color w:val="000000"/>
          <w:sz w:val="15"/>
          <w:szCs w:val="15"/>
        </w:rPr>
        <w:t>CAP EMPLOI</w:t>
      </w:r>
      <w:r>
        <w:rPr>
          <w:rFonts w:eastAsia="Century Gothic" w:cs="Century Gothic" w:ascii="Century Gothic" w:hAnsi="Century Gothic"/>
          <w:color w:val="000000"/>
          <w:sz w:val="15"/>
          <w:szCs w:val="15"/>
        </w:rPr>
        <w:br/>
        <w:t>Le Cap Var C1148 Avenue Guynemer</w:t>
        <w:br/>
        <w:t>06700 - Saint-Laurent-du-Var</w:t>
        <w:br/>
        <w:t>Tel : 04 93 19 30 80</w:t>
      </w:r>
    </w:p>
    <w:p>
      <w:pPr>
        <w:pStyle w:val="Normal"/>
        <w:widowControl/>
        <w:spacing w:lineRule="auto" w:line="240" w:before="150" w:after="150"/>
        <w:ind w:left="0" w:right="0" w:hanging="1"/>
        <w:jc w:val="left"/>
        <w:rPr/>
      </w:pPr>
      <w:r>
        <w:rPr>
          <w:rFonts w:eastAsia="Century Gothic" w:cs="Century Gothic" w:ascii="Century Gothic" w:hAnsi="Century Gothic"/>
          <w:b/>
          <w:bCs/>
          <w:color w:val="000000"/>
          <w:sz w:val="15"/>
          <w:szCs w:val="15"/>
        </w:rPr>
        <w:t>Association Pour Adultes et Jeunes Handicapés</w:t>
      </w:r>
      <w:r>
        <w:rPr>
          <w:rFonts w:eastAsia="Century Gothic" w:cs="Century Gothic" w:ascii="Century Gothic" w:hAnsi="Century Gothic"/>
          <w:color w:val="000000"/>
          <w:sz w:val="15"/>
          <w:szCs w:val="15"/>
        </w:rPr>
        <w:br/>
        <w:t>Association APAJH des Alpes Maritimes</w:t>
        <w:br/>
        <w:t>268 Avenue de la Californie 06200 Nice</w:t>
      </w:r>
    </w:p>
    <w:p>
      <w:pPr>
        <w:pStyle w:val="Normal"/>
        <w:widowControl w:val="false"/>
        <w:ind w:left="0" w:hanging="2"/>
        <w:rPr>
          <w:rFonts w:ascii="Century Gothic" w:hAnsi="Century Gothic" w:eastAsia="Century Gothic" w:cs="Century Gothic"/>
          <w:color w:val="000000"/>
        </w:rPr>
      </w:pPr>
      <w:r>
        <w:rPr>
          <w:rFonts w:eastAsia="Century Gothic" w:cs="Century Gothic" w:ascii="Century Gothic" w:hAnsi="Century Gothic"/>
          <w:color w:val="000000"/>
        </w:rPr>
      </w:r>
    </w:p>
    <w:p>
      <w:pPr>
        <w:pStyle w:val="Normal"/>
        <w:widowControl w:val="false"/>
        <w:ind w:left="0" w:hanging="2"/>
        <w:rPr>
          <w:rFonts w:ascii="Century Gothic" w:hAnsi="Century Gothic" w:eastAsia="Century Gothic" w:cs="Century Gothic"/>
          <w:color w:val="000000"/>
        </w:rPr>
      </w:pPr>
      <w:r>
        <w:rPr>
          <w:rFonts w:eastAsia="Century Gothic" w:cs="Century Gothic" w:ascii="Century Gothic" w:hAnsi="Century Gothic"/>
          <w:color w:val="000000"/>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Évaluation du besoin :</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highlight w:val="white"/>
        </w:rPr>
        <w:t>Un questionnaire sera proposé pour analyser l’adéquation du besoin de formation avec les formations dispensées.</w:t>
      </w:r>
    </w:p>
    <w:p>
      <w:pPr>
        <w:pStyle w:val="Normal"/>
        <w:widowControl w:val="false"/>
        <w:ind w:left="0" w:hanging="2"/>
        <w:rPr>
          <w:rFonts w:ascii="Century Gothic" w:hAnsi="Century Gothic" w:eastAsia="Century Gothic" w:cs="Century Gothic"/>
          <w:color w:val="000000"/>
        </w:rPr>
      </w:pPr>
      <w:r>
        <w:rPr>
          <w:rFonts w:eastAsia="Century Gothic" w:cs="Century Gothic" w:ascii="Century Gothic" w:hAnsi="Century Gothic"/>
          <w:color w:val="000000"/>
        </w:rPr>
      </w:r>
    </w:p>
    <w:p>
      <w:pPr>
        <w:pStyle w:val="Normal"/>
        <w:widowControl w:val="false"/>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keepNext w:val="true"/>
        <w:keepLines/>
        <w:spacing w:lineRule="auto" w:line="360" w:before="40" w:after="0"/>
        <w:ind w:left="1" w:hanging="3"/>
        <w:rPr>
          <w:rFonts w:ascii="Century Gothic" w:hAnsi="Century Gothic" w:eastAsia="Century Gothic" w:cs="Century Gothic"/>
          <w:sz w:val="26"/>
          <w:szCs w:val="26"/>
          <w:u w:val="single"/>
        </w:rPr>
      </w:pPr>
      <w:r>
        <w:rPr>
          <w:rFonts w:eastAsia="Century Gothic" w:cs="Century Gothic" w:ascii="Century Gothic" w:hAnsi="Century Gothic"/>
          <w:color w:val="000000"/>
          <w:sz w:val="26"/>
          <w:szCs w:val="26"/>
          <w:u w:val="single"/>
        </w:rPr>
        <w:t>Le Prix :</w:t>
      </w:r>
    </w:p>
    <w:p>
      <w:pPr>
        <w:pStyle w:val="Normal"/>
        <w:ind w:left="0" w:hanging="2"/>
        <w:rPr/>
      </w:pPr>
      <w:r>
        <w:rPr>
          <w:rFonts w:eastAsia="Century Gothic" w:cs="Century Gothic" w:ascii="Century Gothic" w:hAnsi="Century Gothic"/>
          <w:color w:val="000000"/>
          <w:sz w:val="20"/>
          <w:szCs w:val="20"/>
        </w:rPr>
        <w:t>799 €</w:t>
      </w:r>
    </w:p>
    <w:p>
      <w:pPr>
        <w:pStyle w:val="Normal"/>
        <w:ind w:left="0" w:hanging="2"/>
        <w:rPr>
          <w:rFonts w:ascii="Century Gothic" w:hAnsi="Century Gothic" w:eastAsia="Century Gothic" w:cs="Century Gothic"/>
          <w:color w:val="000000"/>
        </w:rPr>
      </w:pPr>
      <w:r>
        <w:rPr>
          <w:rFonts w:eastAsia="Century Gothic" w:cs="Century Gothic" w:ascii="Century Gothic" w:hAnsi="Century Gothic"/>
          <w:color w:val="000000"/>
        </w:rPr>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r>
    </w:p>
    <w:p>
      <w:pPr>
        <w:pStyle w:val="Normal"/>
        <w:ind w:left="0" w:hanging="2"/>
        <w:rPr>
          <w:rFonts w:ascii="Century Gothic" w:hAnsi="Century Gothic" w:eastAsia="Century Gothic" w:cs="Century Gothic"/>
          <w:color w:val="000000"/>
        </w:rPr>
      </w:pPr>
      <w:bookmarkStart w:id="12" w:name="_heading=h.4d34og8"/>
      <w:bookmarkStart w:id="13" w:name="_heading=h.4d34og8"/>
      <w:bookmarkEnd w:id="13"/>
      <w:r>
        <w:rPr>
          <w:rFonts w:eastAsia="Century Gothic" w:cs="Century Gothic" w:ascii="Century Gothic" w:hAnsi="Century Gothic"/>
          <w:color w:val="000000"/>
        </w:rPr>
      </w:r>
    </w:p>
    <w:p>
      <w:pPr>
        <w:pStyle w:val="Normal"/>
        <w:keepNext w:val="true"/>
        <w:keepLines/>
        <w:spacing w:lineRule="auto" w:line="360" w:before="40" w:after="0"/>
        <w:ind w:left="1" w:hanging="3"/>
        <w:rPr>
          <w:rFonts w:ascii="Century Gothic" w:hAnsi="Century Gothic" w:eastAsia="Century Gothic" w:cs="Century Gothic"/>
          <w:color w:val="000000"/>
          <w:sz w:val="26"/>
          <w:szCs w:val="26"/>
          <w:u w:val="single"/>
        </w:rPr>
      </w:pPr>
      <w:r>
        <w:rPr>
          <w:rFonts w:eastAsia="Century Gothic" w:cs="Century Gothic" w:ascii="Century Gothic" w:hAnsi="Century Gothic"/>
          <w:color w:val="000000"/>
          <w:sz w:val="26"/>
          <w:szCs w:val="26"/>
          <w:u w:val="single"/>
        </w:rPr>
        <w:t>Contact :</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THUILLIERS Nadia</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lespetitsphilo@lespetitsphilo.com</w:t>
      </w:r>
    </w:p>
    <w:p>
      <w:pPr>
        <w:pStyle w:val="Normal"/>
        <w:ind w:left="0" w:hanging="2"/>
        <w:rPr>
          <w:rFonts w:ascii="Century Gothic" w:hAnsi="Century Gothic" w:eastAsia="Century Gothic" w:cs="Century Gothic"/>
          <w:color w:val="000000"/>
          <w:sz w:val="20"/>
          <w:szCs w:val="20"/>
        </w:rPr>
      </w:pPr>
      <w:r>
        <w:rPr>
          <w:rFonts w:eastAsia="Century Gothic" w:cs="Century Gothic" w:ascii="Century Gothic" w:hAnsi="Century Gothic"/>
          <w:color w:val="000000"/>
          <w:sz w:val="20"/>
          <w:szCs w:val="20"/>
        </w:rPr>
        <w:t xml:space="preserve">06 22 10 01 72 </w:t>
      </w:r>
    </w:p>
    <w:p>
      <w:pPr>
        <w:pStyle w:val="Normal"/>
        <w:ind w:left="0" w:hanging="2"/>
        <w:rPr/>
      </w:pPr>
      <w:r>
        <w:rPr/>
      </w:r>
    </w:p>
    <w:p>
      <w:pPr>
        <w:pStyle w:val="Normal"/>
        <w:ind w:left="0" w:hanging="2"/>
        <w:rPr>
          <w:rFonts w:ascii="Century Gothic" w:hAnsi="Century Gothic" w:eastAsia="Century Gothic" w:cs="Century Gothic"/>
        </w:rPr>
      </w:pPr>
      <w:r>
        <w:rPr>
          <w:rFonts w:eastAsia="Century Gothic" w:cs="Century Gothic" w:ascii="Century Gothic" w:hAnsi="Century Gothic"/>
        </w:rPr>
      </w:r>
    </w:p>
    <w:p>
      <w:pPr>
        <w:pStyle w:val="Normal"/>
        <w:spacing w:lineRule="auto" w:line="276"/>
        <w:ind w:left="0" w:hanging="2"/>
        <w:rPr>
          <w:rFonts w:ascii="Century Gothic" w:hAnsi="Century Gothic" w:eastAsia="Century Gothic" w:cs="Century Gothic"/>
          <w:u w:val="single"/>
        </w:rPr>
      </w:pPr>
      <w:r>
        <w:rPr>
          <w:rFonts w:eastAsia="Century Gothic" w:cs="Century Gothic" w:ascii="Century Gothic" w:hAnsi="Century Gothic"/>
          <w:u w:val="single"/>
        </w:rPr>
        <w:t>QUELQUES CHIFFRES:</w:t>
      </w:r>
    </w:p>
    <w:p>
      <w:pPr>
        <w:pStyle w:val="Normal"/>
        <w:spacing w:lineRule="auto" w:line="276"/>
        <w:ind w:left="0" w:hanging="2"/>
        <w:rPr>
          <w:rFonts w:ascii="Century Gothic" w:hAnsi="Century Gothic" w:eastAsia="Century Gothic" w:cs="Century Gothic"/>
          <w:b/>
          <w:b/>
          <w:bCs/>
        </w:rPr>
      </w:pPr>
      <w:r>
        <w:rPr>
          <w:rFonts w:eastAsia="Century Gothic" w:cs="Century Gothic" w:ascii="Century Gothic" w:hAnsi="Century Gothic"/>
          <w:b/>
          <w:bCs/>
        </w:rPr>
        <w:t xml:space="preserve"> </w:t>
      </w:r>
    </w:p>
    <w:tbl>
      <w:tblPr>
        <w:tblStyle w:val="Table1"/>
        <w:tblW w:w="9346"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600"/>
      </w:tblPr>
      <w:tblGrid>
        <w:gridCol w:w="1467"/>
        <w:gridCol w:w="2328"/>
        <w:gridCol w:w="1711"/>
        <w:gridCol w:w="2304"/>
        <w:gridCol w:w="1536"/>
      </w:tblGrid>
      <w:tr>
        <w:trPr>
          <w:trHeight w:val="990" w:hRule="atLeast"/>
        </w:trPr>
        <w:tc>
          <w:tcPr>
            <w:tcW w:w="146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80" w:type="dxa"/>
            </w:tcMar>
          </w:tcPr>
          <w:p>
            <w:pPr>
              <w:pStyle w:val="Normal"/>
              <w:spacing w:lineRule="auto" w:line="247"/>
              <w:ind w:left="0" w:hanging="2"/>
              <w:jc w:val="center"/>
              <w:rPr>
                <w:rFonts w:ascii="Century Gothic" w:hAnsi="Century Gothic" w:eastAsia="Century Gothic" w:cs="Century Gothic"/>
                <w:b/>
                <w:b/>
                <w:bCs/>
                <w:sz w:val="20"/>
                <w:szCs w:val="20"/>
              </w:rPr>
            </w:pPr>
            <w:r>
              <w:rPr>
                <w:color w:val="FF0000"/>
              </w:rPr>
              <w:t>[promotions]</w:t>
            </w:r>
          </w:p>
          <w:p>
            <w:pPr>
              <w:pStyle w:val="Normal"/>
              <w:spacing w:lineRule="auto" w:line="247"/>
              <w:ind w:left="0" w:hanging="2"/>
              <w:jc w:val="center"/>
              <w:rPr>
                <w:rFonts w:ascii="Century Gothic" w:hAnsi="Century Gothic" w:eastAsia="Century Gothic" w:cs="Century Gothic"/>
                <w:sz w:val="20"/>
                <w:szCs w:val="20"/>
              </w:rPr>
            </w:pPr>
            <w:r>
              <w:rPr>
                <w:rFonts w:eastAsia="Century Gothic" w:cs="Century Gothic" w:ascii="Century Gothic" w:hAnsi="Century Gothic"/>
                <w:sz w:val="20"/>
                <w:szCs w:val="20"/>
              </w:rPr>
              <w:t>promotions</w:t>
            </w:r>
          </w:p>
        </w:tc>
        <w:tc>
          <w:tcPr>
            <w:tcW w:w="232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auto" w:line="276"/>
              <w:ind w:left="0" w:hanging="2"/>
              <w:jc w:val="center"/>
              <w:rPr>
                <w:rFonts w:ascii="Century Gothic" w:hAnsi="Century Gothic" w:eastAsia="Century Gothic" w:cs="Century Gothic"/>
                <w:sz w:val="20"/>
                <w:szCs w:val="20"/>
              </w:rPr>
            </w:pPr>
            <w:r>
              <w:rPr>
                <w:rFonts w:eastAsia="Century Gothic" w:cs="Century Gothic" w:ascii="Century Gothic" w:hAnsi="Century Gothic"/>
                <w:sz w:val="20"/>
                <w:szCs w:val="20"/>
              </w:rPr>
              <w:t>Taux de satisfaction :</w:t>
            </w:r>
          </w:p>
          <w:p>
            <w:pPr>
              <w:pStyle w:val="Normal"/>
              <w:spacing w:lineRule="auto" w:line="247"/>
              <w:ind w:left="0" w:hanging="2"/>
              <w:jc w:val="center"/>
              <w:rPr>
                <w:rFonts w:ascii="Century Gothic" w:hAnsi="Century Gothic" w:eastAsia="Century Gothic" w:cs="Century Gothic"/>
                <w:b/>
                <w:b/>
                <w:bCs/>
                <w:sz w:val="20"/>
                <w:szCs w:val="20"/>
              </w:rPr>
            </w:pPr>
            <w:r>
              <w:rPr>
                <w:color w:val="FF0000"/>
              </w:rPr>
              <w:t>[en%]</w:t>
            </w:r>
          </w:p>
        </w:tc>
        <w:tc>
          <w:tcPr>
            <w:tcW w:w="171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auto" w:line="276"/>
              <w:ind w:left="0" w:hanging="2"/>
              <w:jc w:val="center"/>
              <w:rPr>
                <w:rFonts w:ascii="Century Gothic" w:hAnsi="Century Gothic" w:eastAsia="Century Gothic" w:cs="Century Gothic"/>
                <w:b/>
                <w:b/>
                <w:bCs/>
                <w:sz w:val="20"/>
                <w:szCs w:val="20"/>
              </w:rPr>
            </w:pPr>
            <w:r>
              <w:rPr>
                <w:rFonts w:eastAsia="Century Gothic" w:cs="Century Gothic" w:ascii="Century Gothic" w:hAnsi="Century Gothic"/>
                <w:sz w:val="20"/>
                <w:szCs w:val="20"/>
              </w:rPr>
              <w:t xml:space="preserve">Taux d’admis </w:t>
            </w:r>
            <w:r>
              <w:rPr>
                <w:rFonts w:eastAsia="Century Gothic" w:cs="Century Gothic" w:ascii="Century Gothic" w:hAnsi="Century Gothic"/>
                <w:b/>
                <w:bCs/>
                <w:sz w:val="20"/>
                <w:szCs w:val="20"/>
              </w:rPr>
              <w:t>:</w:t>
            </w:r>
          </w:p>
          <w:p>
            <w:pPr>
              <w:pStyle w:val="Normal"/>
              <w:spacing w:lineRule="auto" w:line="247"/>
              <w:ind w:left="0" w:hanging="2"/>
              <w:jc w:val="center"/>
              <w:rPr>
                <w:rFonts w:ascii="Century Gothic" w:hAnsi="Century Gothic" w:eastAsia="Century Gothic" w:cs="Century Gothic"/>
                <w:b/>
                <w:b/>
                <w:bCs/>
                <w:sz w:val="20"/>
                <w:szCs w:val="20"/>
              </w:rPr>
            </w:pPr>
            <w:r>
              <w:rPr>
                <w:color w:val="FF0000"/>
              </w:rPr>
              <w:t>[en%]</w:t>
            </w:r>
          </w:p>
        </w:tc>
        <w:tc>
          <w:tcPr>
            <w:tcW w:w="230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98" w:type="dxa"/>
              <w:bottom w:w="0" w:type="dxa"/>
              <w:right w:w="108" w:type="dxa"/>
            </w:tcMar>
          </w:tcPr>
          <w:p>
            <w:pPr>
              <w:pStyle w:val="Normal"/>
              <w:spacing w:lineRule="auto" w:line="276"/>
              <w:ind w:left="0" w:hanging="2"/>
              <w:jc w:val="center"/>
              <w:rPr/>
            </w:pPr>
            <w:r>
              <w:rPr>
                <w:rFonts w:eastAsia="Century Gothic" w:cs="Century Gothic" w:ascii="Century Gothic" w:hAnsi="Century Gothic"/>
                <w:sz w:val="20"/>
                <w:szCs w:val="20"/>
              </w:rPr>
              <w:t>Nombre de stagiaire :</w:t>
            </w:r>
          </w:p>
          <w:p>
            <w:pPr>
              <w:pStyle w:val="Normal"/>
              <w:spacing w:lineRule="auto" w:line="276"/>
              <w:ind w:left="0" w:hanging="2"/>
              <w:jc w:val="center"/>
              <w:rPr/>
            </w:pPr>
            <w:r>
              <w:rPr>
                <w:rFonts w:eastAsia="Century Gothic" w:cs="Century Gothic" w:ascii="Century Gothic" w:hAnsi="Century Gothic"/>
                <w:sz w:val="20"/>
                <w:szCs w:val="20"/>
              </w:rPr>
              <w:t>1</w:t>
            </w:r>
          </w:p>
        </w:tc>
        <w:tc>
          <w:tcPr>
            <w:tcW w:w="153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98" w:type="dxa"/>
              <w:bottom w:w="0" w:type="dxa"/>
              <w:right w:w="108" w:type="dxa"/>
            </w:tcMar>
          </w:tcPr>
          <w:p>
            <w:pPr>
              <w:pStyle w:val="Normal"/>
              <w:spacing w:lineRule="auto" w:line="276"/>
              <w:ind w:left="0" w:hanging="2"/>
              <w:jc w:val="center"/>
              <w:rPr/>
            </w:pPr>
            <w:r>
              <w:rPr>
                <w:rFonts w:eastAsia="Century Gothic" w:cs="Century Gothic" w:ascii="Century Gothic" w:hAnsi="Century Gothic"/>
                <w:sz w:val="20"/>
                <w:szCs w:val="20"/>
              </w:rPr>
              <w:t>Taux de réussite :</w:t>
            </w:r>
          </w:p>
          <w:p>
            <w:pPr>
              <w:pStyle w:val="Normal"/>
              <w:spacing w:lineRule="auto" w:line="276"/>
              <w:ind w:left="0" w:hanging="2"/>
              <w:jc w:val="center"/>
              <w:rPr>
                <w:rFonts w:ascii="Century Gothic" w:hAnsi="Century Gothic" w:eastAsia="Century Gothic" w:cs="Century Gothic"/>
                <w:sz w:val="20"/>
                <w:szCs w:val="20"/>
              </w:rPr>
            </w:pPr>
            <w:r>
              <w:rPr/>
            </w:r>
          </w:p>
        </w:tc>
      </w:tr>
    </w:tbl>
    <w:p>
      <w:pPr>
        <w:pStyle w:val="Normal"/>
        <w:ind w:left="0" w:hanging="2"/>
        <w:rPr>
          <w:rFonts w:ascii="Century Gothic" w:hAnsi="Century Gothic" w:eastAsia="Century Gothic" w:cs="Century Gothic"/>
          <w:b/>
          <w:b/>
          <w:bCs/>
        </w:rPr>
      </w:pPr>
      <w:r>
        <w:rPr>
          <w:rFonts w:eastAsia="Century Gothic" w:cs="Century Gothic" w:ascii="Century Gothic" w:hAnsi="Century Gothic"/>
          <w:b/>
          <w:bCs/>
        </w:rPr>
        <w:t xml:space="preserve"> </w:t>
      </w:r>
    </w:p>
    <w:p>
      <w:pPr>
        <w:pStyle w:val="Normal"/>
        <w:ind w:left="0" w:hanging="2"/>
        <w:rPr>
          <w:rFonts w:ascii="Century Gothic" w:hAnsi="Century Gothic" w:eastAsia="Century Gothic" w:cs="Century Gothic"/>
        </w:rPr>
      </w:pPr>
      <w:r>
        <w:rPr>
          <w:rFonts w:eastAsia="Century Gothic" w:cs="Century Gothic" w:ascii="Century Gothic" w:hAnsi="Century Gothic"/>
        </w:rPr>
      </w:r>
    </w:p>
    <w:p>
      <w:pPr>
        <w:pStyle w:val="Normal"/>
        <w:ind w:left="0" w:hanging="2"/>
        <w:rPr>
          <w:rFonts w:ascii="Century Gothic" w:hAnsi="Century Gothic" w:eastAsia="Century Gothic" w:cs="Century Gothic"/>
        </w:rPr>
      </w:pPr>
      <w:r>
        <w:rPr>
          <w:rFonts w:eastAsia="Century Gothic" w:cs="Century Gothic" w:ascii="Century Gothic" w:hAnsi="Century Gothic"/>
        </w:rPr>
      </w:r>
      <w:r>
        <w:br w:type="page"/>
      </w:r>
    </w:p>
    <w:p>
      <w:pPr>
        <w:pStyle w:val="Normal"/>
        <w:ind w:left="0" w:hanging="2"/>
        <w:rPr/>
      </w:pPr>
      <w:r>
        <w:rPr/>
      </w:r>
    </w:p>
    <w:p>
      <w:pPr>
        <w:pStyle w:val="Normal"/>
        <w:ind w:left="1" w:hanging="3"/>
        <w:jc w:val="center"/>
        <w:rPr>
          <w:rFonts w:ascii="Century Gothic" w:hAnsi="Century Gothic" w:eastAsia="Century Gothic" w:cs="Century Gothic"/>
          <w:color w:val="000000"/>
          <w:sz w:val="32"/>
          <w:szCs w:val="32"/>
        </w:rPr>
      </w:pPr>
      <w:r>
        <w:rPr>
          <w:rFonts w:eastAsia="Century Gothic" w:cs="Century Gothic" w:ascii="Century Gothic" w:hAnsi="Century Gothic"/>
          <w:b/>
          <w:bCs/>
          <w:color w:val="000000"/>
          <w:sz w:val="32"/>
          <w:szCs w:val="32"/>
        </w:rPr>
        <w:t>« Animer des ateliers de philosophie pour enfants et adolescents</w:t>
      </w:r>
      <w:r>
        <w:rPr>
          <w:rFonts w:eastAsia="Century Gothic" w:cs="Century Gothic" w:ascii="Century Gothic" w:hAnsi="Century Gothic"/>
          <w:color w:val="000000"/>
          <w:sz w:val="32"/>
          <w:szCs w:val="32"/>
        </w:rPr>
        <w:t xml:space="preserve"> </w:t>
      </w:r>
      <w:r>
        <w:rPr>
          <w:rFonts w:eastAsia="Century Gothic" w:cs="Century Gothic" w:ascii="Century Gothic" w:hAnsi="Century Gothic"/>
          <w:b/>
          <w:bCs/>
          <w:color w:val="000000"/>
          <w:sz w:val="32"/>
          <w:szCs w:val="32"/>
        </w:rPr>
        <w:t>»</w:t>
      </w:r>
    </w:p>
    <w:p>
      <w:pPr>
        <w:pStyle w:val="Normal"/>
        <w:ind w:left="0" w:hanging="2"/>
        <w:rPr>
          <w:rFonts w:ascii="Century Gothic" w:hAnsi="Century Gothic" w:eastAsia="Century Gothic" w:cs="Century Gothic"/>
        </w:rPr>
      </w:pPr>
      <w:r>
        <w:rPr>
          <w:rFonts w:eastAsia="Century Gothic" w:cs="Century Gothic" w:ascii="Century Gothic" w:hAnsi="Century Gothic"/>
        </w:rPr>
      </w:r>
    </w:p>
    <w:p>
      <w:pPr>
        <w:pStyle w:val="Normal"/>
        <w:spacing w:lineRule="auto" w:line="240" w:before="0" w:after="200"/>
        <w:ind w:left="1" w:hanging="3"/>
        <w:jc w:val="center"/>
        <w:rPr>
          <w:rFonts w:ascii="Century Gothic" w:hAnsi="Century Gothic" w:eastAsia="Century Gothic" w:cs="Century Gothic"/>
          <w:color w:val="000000"/>
          <w:sz w:val="26"/>
          <w:szCs w:val="26"/>
        </w:rPr>
      </w:pPr>
      <w:r>
        <w:rPr>
          <w:rFonts w:eastAsia="Century Gothic" w:cs="Century Gothic" w:ascii="Century Gothic" w:hAnsi="Century Gothic"/>
          <w:b/>
          <w:bCs/>
          <w:color w:val="000000"/>
          <w:sz w:val="26"/>
          <w:szCs w:val="26"/>
        </w:rPr>
        <w:t xml:space="preserve">PROGRAMME DE FORMATION </w:t>
      </w:r>
      <w:r>
        <w:rPr>
          <w:rFonts w:eastAsia="Century Gothic" w:cs="Century Gothic" w:ascii="Century Gothic" w:hAnsi="Century Gothic"/>
          <w:b/>
          <w:bCs/>
          <w:sz w:val="26"/>
          <w:szCs w:val="26"/>
        </w:rPr>
        <w:t>DÉTAILLÉ</w:t>
      </w:r>
      <w:r>
        <w:rPr>
          <w:rFonts w:eastAsia="Century Gothic" w:cs="Century Gothic" w:ascii="Century Gothic" w:hAnsi="Century Gothic"/>
          <w:b/>
          <w:bCs/>
          <w:color w:val="000000"/>
          <w:sz w:val="26"/>
          <w:szCs w:val="26"/>
        </w:rPr>
        <w:t> </w:t>
      </w:r>
    </w:p>
    <w:p>
      <w:pPr>
        <w:pStyle w:val="Normal"/>
        <w:ind w:left="0" w:hanging="2"/>
        <w:rPr>
          <w:rFonts w:ascii="Century Gothic" w:hAnsi="Century Gothic" w:eastAsia="Century Gothic" w:cs="Century Gothic"/>
        </w:rPr>
      </w:pPr>
      <w:r>
        <w:rPr>
          <w:rFonts w:eastAsia="Century Gothic" w:cs="Century Gothic" w:ascii="Century Gothic" w:hAnsi="Century Gothic"/>
        </w:rPr>
      </w:r>
    </w:p>
    <w:p>
      <w:pPr>
        <w:pStyle w:val="Normal"/>
        <w:ind w:left="0" w:hanging="2"/>
        <w:rPr>
          <w:rFonts w:ascii="Century Gothic" w:hAnsi="Century Gothic" w:eastAsia="Century Gothic" w:cs="Century Gothic"/>
        </w:rPr>
      </w:pPr>
      <w:r>
        <w:rPr>
          <w:rFonts w:eastAsia="Century Gothic" w:cs="Century Gothic" w:ascii="Century Gothic" w:hAnsi="Century Gothic"/>
        </w:rPr>
      </w:r>
    </w:p>
    <w:p>
      <w:pPr>
        <w:pStyle w:val="Normal"/>
        <w:widowControl/>
        <w:spacing w:lineRule="auto" w:line="240" w:before="0" w:after="0"/>
        <w:ind w:left="0" w:right="0" w:hanging="1"/>
        <w:jc w:val="left"/>
        <w:rPr/>
      </w:pPr>
      <w:r>
        <w:rPr>
          <w:rFonts w:eastAsia="Century Gothic" w:cs="Century Gothic" w:ascii="Century Gothic" w:hAnsi="Century Gothic"/>
          <w:b/>
          <w:bCs/>
          <w:color w:val="000000"/>
          <w:sz w:val="21"/>
          <w:szCs w:val="21"/>
        </w:rPr>
        <w:t>MODULE 1 :</w:t>
      </w:r>
      <w:r>
        <w:rPr>
          <w:rFonts w:eastAsia="Century Gothic" w:cs="Century Gothic" w:ascii="Century Gothic" w:hAnsi="Century Gothic"/>
          <w:color w:val="000000"/>
          <w:sz w:val="21"/>
          <w:szCs w:val="21"/>
        </w:rPr>
        <w:t xml:space="preserve"> Définir le cadre professionnel des ateliers philosophiques</w:t>
      </w:r>
      <w:r>
        <w:rPr>
          <w:rFonts w:eastAsia="Century Gothic" w:cs="Century Gothic" w:ascii="Century Gothic" w:hAnsi="Century Gothic"/>
          <w:b/>
          <w:bCs/>
          <w:color w:val="000000"/>
          <w:sz w:val="21"/>
          <w:szCs w:val="21"/>
        </w:rPr>
        <w:br/>
        <w:t>Durée :</w:t>
      </w:r>
      <w:r>
        <w:rPr>
          <w:rFonts w:eastAsia="Century Gothic" w:cs="Century Gothic" w:ascii="Century Gothic" w:hAnsi="Century Gothic"/>
          <w:color w:val="000000"/>
          <w:sz w:val="21"/>
          <w:szCs w:val="21"/>
        </w:rPr>
        <w:t xml:space="preserve"> 7 heures</w:t>
      </w:r>
      <w:r>
        <w:rPr>
          <w:rFonts w:eastAsia="Century Gothic" w:cs="Century Gothic" w:ascii="Century Gothic" w:hAnsi="Century Gothic"/>
          <w:b/>
          <w:bCs/>
          <w:color w:val="000000"/>
          <w:sz w:val="21"/>
          <w:szCs w:val="21"/>
        </w:rPr>
        <w:br/>
        <w:t>Objectif :</w:t>
      </w:r>
      <w:r>
        <w:rPr>
          <w:rFonts w:eastAsia="Century Gothic" w:cs="Century Gothic" w:ascii="Century Gothic" w:hAnsi="Century Gothic"/>
          <w:color w:val="000000"/>
          <w:sz w:val="21"/>
          <w:szCs w:val="21"/>
        </w:rPr>
        <w:t xml:space="preserve"> À l’issue de ce module, le stagiaire sera capable de définir le cadre réglementaire, pédagogique et méthodologique d’un atelier philosophique destiné aux enfants et adolescents.</w:t>
        <w:br/>
        <w:t>Chapitre 1 : Définir les finalités pédagogiques d’un atelier philosophique pour un public enfant et adolescent</w:t>
        <w:br/>
        <w:t>Chapitre 2 : Analyser les fondements théoriques des pratiques philosophiques adaptées aux mineurs</w:t>
        <w:br/>
        <w:t>Chapitre 3 : Identifier les conditions matérielles, organisationnelles et pédagogiques nécessaires à la mise en œuvre d’un atelier</w:t>
        <w:br/>
        <w:t>Chapitre 4 : Maîtriser les règles de fonctionnement d’un atelier philosophique structuré</w:t>
      </w:r>
    </w:p>
    <w:p>
      <w:pPr>
        <w:pStyle w:val="Normal"/>
        <w:widowControl/>
        <w:spacing w:lineRule="auto" w:line="240" w:before="210" w:after="210"/>
        <w:ind w:left="0" w:right="0" w:hanging="1"/>
        <w:jc w:val="left"/>
        <w:rPr/>
      </w:pPr>
      <w:r>
        <w:rPr>
          <w:rFonts w:eastAsia="Century Gothic" w:cs="Century Gothic" w:ascii="Century Gothic" w:hAnsi="Century Gothic"/>
          <w:color w:val="000000"/>
          <w:sz w:val="21"/>
          <w:szCs w:val="21"/>
        </w:rPr>
        <w:t>...</w:t>
        <w:br/>
        <w:t>Évaluation Module 1</w:t>
      </w:r>
    </w:p>
    <w:p>
      <w:pPr>
        <w:pStyle w:val="Normal"/>
        <w:widowControl/>
        <w:spacing w:lineRule="auto" w:line="240" w:before="0" w:after="0"/>
        <w:ind w:left="0" w:right="0" w:hanging="1"/>
        <w:jc w:val="left"/>
        <w:rPr/>
      </w:pPr>
      <w:r>
        <w:rPr>
          <w:rFonts w:eastAsia="Century Gothic" w:cs="Century Gothic" w:ascii="Century Gothic" w:hAnsi="Century Gothic"/>
          <w:b/>
          <w:bCs/>
          <w:color w:val="000000"/>
          <w:sz w:val="21"/>
          <w:szCs w:val="21"/>
        </w:rPr>
        <w:t>MODULE 2 :</w:t>
      </w:r>
      <w:r>
        <w:rPr>
          <w:rFonts w:eastAsia="Century Gothic" w:cs="Century Gothic" w:ascii="Century Gothic" w:hAnsi="Century Gothic"/>
          <w:color w:val="000000"/>
          <w:sz w:val="21"/>
          <w:szCs w:val="21"/>
        </w:rPr>
        <w:t xml:space="preserve"> Maîtriser la construction d’une séance philosophique</w:t>
      </w:r>
      <w:r>
        <w:rPr>
          <w:rFonts w:eastAsia="Century Gothic" w:cs="Century Gothic" w:ascii="Century Gothic" w:hAnsi="Century Gothic"/>
          <w:b/>
          <w:bCs/>
          <w:color w:val="000000"/>
          <w:sz w:val="21"/>
          <w:szCs w:val="21"/>
        </w:rPr>
        <w:br/>
        <w:t>Durée :</w:t>
      </w:r>
      <w:r>
        <w:rPr>
          <w:rFonts w:eastAsia="Century Gothic" w:cs="Century Gothic" w:ascii="Century Gothic" w:hAnsi="Century Gothic"/>
          <w:color w:val="000000"/>
          <w:sz w:val="21"/>
          <w:szCs w:val="21"/>
        </w:rPr>
        <w:t xml:space="preserve"> 8 heures</w:t>
      </w:r>
      <w:r>
        <w:rPr>
          <w:rFonts w:eastAsia="Century Gothic" w:cs="Century Gothic" w:ascii="Century Gothic" w:hAnsi="Century Gothic"/>
          <w:b/>
          <w:bCs/>
          <w:color w:val="000000"/>
          <w:sz w:val="21"/>
          <w:szCs w:val="21"/>
        </w:rPr>
        <w:br/>
        <w:t>Objectif :</w:t>
      </w:r>
      <w:r>
        <w:rPr>
          <w:rFonts w:eastAsia="Century Gothic" w:cs="Century Gothic" w:ascii="Century Gothic" w:hAnsi="Century Gothic"/>
          <w:color w:val="000000"/>
          <w:sz w:val="21"/>
          <w:szCs w:val="21"/>
        </w:rPr>
        <w:t xml:space="preserve"> À l’issue de ce module, le stagiaire sera capable de concevoir une séance d’atelier philosophique structurée et adaptée à l’âge du public.</w:t>
        <w:br/>
        <w:t>Chapitre 1 : Définir un objectif pédagogique opérationnel adapté à un groupe d’enfants ou d’adolescents</w:t>
        <w:br/>
        <w:t>Chapitre 2 : Analyser les caractéristiques cognitives des publics 6–11 ans et 12–17 ans</w:t>
        <w:br/>
        <w:t>Chapitre 3 : Créer un déroulé pédagogique structuré (introduction, problématisation, discussion, synthèse)</w:t>
        <w:br/>
        <w:t>Chapitre 4 : Développer des supports pédagogiques adaptés (albums, dilemmes, supports visuels, extraits vidéo)</w:t>
        <w:br/>
        <w:t>Chapitre 5 : Structurer un plan de séance intégrant durée, consignes et modalités d’animation</w:t>
      </w:r>
    </w:p>
    <w:p>
      <w:pPr>
        <w:pStyle w:val="Normal"/>
        <w:widowControl/>
        <w:spacing w:lineRule="auto" w:line="240" w:before="210" w:after="210"/>
        <w:ind w:left="0" w:right="0" w:hanging="1"/>
        <w:jc w:val="left"/>
        <w:rPr/>
      </w:pPr>
      <w:r>
        <w:rPr>
          <w:rFonts w:eastAsia="Century Gothic" w:cs="Century Gothic" w:ascii="Century Gothic" w:hAnsi="Century Gothic"/>
          <w:color w:val="000000"/>
          <w:sz w:val="21"/>
          <w:szCs w:val="21"/>
        </w:rPr>
        <w:t>...</w:t>
        <w:br/>
        <w:t>Évaluation Module 2</w:t>
      </w:r>
    </w:p>
    <w:p>
      <w:pPr>
        <w:pStyle w:val="Normal"/>
        <w:widowControl/>
        <w:spacing w:lineRule="auto" w:line="240" w:before="0" w:after="0"/>
        <w:ind w:left="0" w:right="0" w:hanging="1"/>
        <w:jc w:val="left"/>
        <w:rPr/>
      </w:pPr>
      <w:r>
        <w:rPr>
          <w:rFonts w:eastAsia="Century Gothic" w:cs="Century Gothic" w:ascii="Century Gothic" w:hAnsi="Century Gothic"/>
          <w:b/>
          <w:bCs/>
          <w:color w:val="000000"/>
          <w:sz w:val="21"/>
          <w:szCs w:val="21"/>
        </w:rPr>
        <w:t>MODULE 3 :</w:t>
      </w:r>
      <w:r>
        <w:rPr>
          <w:rFonts w:eastAsia="Century Gothic" w:cs="Century Gothic" w:ascii="Century Gothic" w:hAnsi="Century Gothic"/>
          <w:color w:val="000000"/>
          <w:sz w:val="21"/>
          <w:szCs w:val="21"/>
        </w:rPr>
        <w:t xml:space="preserve"> Développer les techniques de questionnement philosophique</w:t>
      </w:r>
      <w:r>
        <w:rPr>
          <w:rFonts w:eastAsia="Century Gothic" w:cs="Century Gothic" w:ascii="Century Gothic" w:hAnsi="Century Gothic"/>
          <w:b/>
          <w:bCs/>
          <w:color w:val="000000"/>
          <w:sz w:val="21"/>
          <w:szCs w:val="21"/>
        </w:rPr>
        <w:br/>
        <w:t>Durée :</w:t>
      </w:r>
      <w:r>
        <w:rPr>
          <w:rFonts w:eastAsia="Century Gothic" w:cs="Century Gothic" w:ascii="Century Gothic" w:hAnsi="Century Gothic"/>
          <w:color w:val="000000"/>
          <w:sz w:val="21"/>
          <w:szCs w:val="21"/>
        </w:rPr>
        <w:t xml:space="preserve"> 8 heures</w:t>
      </w:r>
      <w:r>
        <w:rPr>
          <w:rFonts w:eastAsia="Century Gothic" w:cs="Century Gothic" w:ascii="Century Gothic" w:hAnsi="Century Gothic"/>
          <w:b/>
          <w:bCs/>
          <w:color w:val="000000"/>
          <w:sz w:val="21"/>
          <w:szCs w:val="21"/>
        </w:rPr>
        <w:br/>
        <w:t>Objectif :</w:t>
      </w:r>
      <w:r>
        <w:rPr>
          <w:rFonts w:eastAsia="Century Gothic" w:cs="Century Gothic" w:ascii="Century Gothic" w:hAnsi="Century Gothic"/>
          <w:color w:val="000000"/>
          <w:sz w:val="21"/>
          <w:szCs w:val="21"/>
        </w:rPr>
        <w:t xml:space="preserve"> À l’issue de ce module, le stagiaire sera capable de formuler et exploiter des questions philosophiques favorisant la réflexion structurée.</w:t>
        <w:br/>
        <w:t>Chapitre 1 : Définir les caractéristiques d’une question philosophique</w:t>
        <w:br/>
        <w:t>Chapitre 2 : Analyser la différence entre question fermée, question ouverte et question problématisante</w:t>
        <w:br/>
        <w:t>Chapitre 3 : Créer des questions favorisant la conceptualisation et l’argumentation</w:t>
        <w:br/>
        <w:t>Chapitre 4 : Maîtriser l’identification et le traitement des présupposés</w:t>
        <w:br/>
        <w:t>Chapitre 5 : Développer des stratégies de reformulation pour structurer la discussion</w:t>
      </w:r>
    </w:p>
    <w:p>
      <w:pPr>
        <w:pStyle w:val="Normal"/>
        <w:widowControl/>
        <w:spacing w:lineRule="auto" w:line="240" w:before="210" w:after="210"/>
        <w:ind w:left="0" w:right="0" w:hanging="1"/>
        <w:jc w:val="left"/>
        <w:rPr/>
      </w:pPr>
      <w:r>
        <w:rPr>
          <w:rFonts w:eastAsia="Century Gothic" w:cs="Century Gothic" w:ascii="Century Gothic" w:hAnsi="Century Gothic"/>
          <w:color w:val="000000"/>
          <w:sz w:val="21"/>
          <w:szCs w:val="21"/>
        </w:rPr>
        <w:t>...</w:t>
        <w:br/>
        <w:t>Évaluation Module 3</w:t>
      </w:r>
    </w:p>
    <w:p>
      <w:pPr>
        <w:pStyle w:val="Normal"/>
        <w:widowControl/>
        <w:spacing w:lineRule="auto" w:line="240" w:before="0" w:after="0"/>
        <w:ind w:left="0" w:right="0" w:hanging="1"/>
        <w:jc w:val="left"/>
        <w:rPr/>
      </w:pPr>
      <w:r>
        <w:rPr>
          <w:rFonts w:eastAsia="Century Gothic" w:cs="Century Gothic" w:ascii="Century Gothic" w:hAnsi="Century Gothic"/>
          <w:b/>
          <w:bCs/>
          <w:color w:val="000000"/>
          <w:sz w:val="21"/>
          <w:szCs w:val="21"/>
        </w:rPr>
        <w:t>MODULE 4 :</w:t>
      </w:r>
      <w:r>
        <w:rPr>
          <w:rFonts w:eastAsia="Century Gothic" w:cs="Century Gothic" w:ascii="Century Gothic" w:hAnsi="Century Gothic"/>
          <w:color w:val="000000"/>
          <w:sz w:val="21"/>
          <w:szCs w:val="21"/>
        </w:rPr>
        <w:t xml:space="preserve"> Maîtriser l’animation et la structuration du raisonnement</w:t>
      </w:r>
      <w:r>
        <w:rPr>
          <w:rFonts w:eastAsia="Century Gothic" w:cs="Century Gothic" w:ascii="Century Gothic" w:hAnsi="Century Gothic"/>
          <w:b/>
          <w:bCs/>
          <w:color w:val="000000"/>
          <w:sz w:val="21"/>
          <w:szCs w:val="21"/>
        </w:rPr>
        <w:br/>
        <w:t>Durée :</w:t>
      </w:r>
      <w:r>
        <w:rPr>
          <w:rFonts w:eastAsia="Century Gothic" w:cs="Century Gothic" w:ascii="Century Gothic" w:hAnsi="Century Gothic"/>
          <w:color w:val="000000"/>
          <w:sz w:val="21"/>
          <w:szCs w:val="21"/>
        </w:rPr>
        <w:t xml:space="preserve"> 8 heures</w:t>
      </w:r>
      <w:r>
        <w:rPr>
          <w:rFonts w:eastAsia="Century Gothic" w:cs="Century Gothic" w:ascii="Century Gothic" w:hAnsi="Century Gothic"/>
          <w:b/>
          <w:bCs/>
          <w:color w:val="000000"/>
          <w:sz w:val="21"/>
          <w:szCs w:val="21"/>
        </w:rPr>
        <w:br/>
        <w:t>Objectif :</w:t>
      </w:r>
      <w:r>
        <w:rPr>
          <w:rFonts w:eastAsia="Century Gothic" w:cs="Century Gothic" w:ascii="Century Gothic" w:hAnsi="Century Gothic"/>
          <w:color w:val="000000"/>
          <w:sz w:val="21"/>
          <w:szCs w:val="21"/>
        </w:rPr>
        <w:t xml:space="preserve"> À l’issue de ce module, le stagiaire sera capable de structurer les échanges et d’organiser le raisonnement collectif dans un atelier philosophique.</w:t>
        <w:br/>
        <w:t>Chapitre 1 : Analyser les mécanismes du raisonnement argumentatif</w:t>
        <w:br/>
        <w:t>Chapitre 2 : Définir les étapes de construction d’un argument</w:t>
        <w:br/>
        <w:t>Chapitre 3 : Maîtriser les techniques de clarification et de synthèse des idées</w:t>
        <w:br/>
        <w:t>Chapitre 4 : Structurer un débat philosophique adapté à l’âge du public</w:t>
        <w:br/>
        <w:t>Chapitre 5 : Analyser les erreurs fréquentes de raisonnement et les corriger</w:t>
      </w:r>
    </w:p>
    <w:p>
      <w:pPr>
        <w:pStyle w:val="Normal"/>
        <w:widowControl/>
        <w:spacing w:lineRule="auto" w:line="240" w:before="210" w:after="210"/>
        <w:ind w:left="0" w:right="0" w:hanging="1"/>
        <w:jc w:val="left"/>
        <w:rPr/>
      </w:pPr>
      <w:r>
        <w:rPr>
          <w:rFonts w:eastAsia="Century Gothic" w:cs="Century Gothic" w:ascii="Century Gothic" w:hAnsi="Century Gothic"/>
          <w:color w:val="000000"/>
          <w:sz w:val="21"/>
          <w:szCs w:val="21"/>
        </w:rPr>
        <w:t>...</w:t>
        <w:br/>
        <w:t>Évaluation Module 4</w:t>
      </w:r>
    </w:p>
    <w:p>
      <w:pPr>
        <w:pStyle w:val="Normal"/>
        <w:widowControl/>
        <w:spacing w:lineRule="auto" w:line="240" w:before="0" w:after="0"/>
        <w:ind w:left="0" w:right="0" w:hanging="1"/>
        <w:jc w:val="left"/>
        <w:rPr/>
      </w:pPr>
      <w:r>
        <w:rPr>
          <w:rFonts w:eastAsia="Century Gothic" w:cs="Century Gothic" w:ascii="Century Gothic" w:hAnsi="Century Gothic"/>
          <w:b/>
          <w:bCs/>
          <w:color w:val="000000"/>
          <w:sz w:val="21"/>
          <w:szCs w:val="21"/>
        </w:rPr>
        <w:t>MODULE 5 :</w:t>
      </w:r>
      <w:r>
        <w:rPr>
          <w:rFonts w:eastAsia="Century Gothic" w:cs="Century Gothic" w:ascii="Century Gothic" w:hAnsi="Century Gothic"/>
          <w:color w:val="000000"/>
          <w:sz w:val="21"/>
          <w:szCs w:val="21"/>
        </w:rPr>
        <w:t xml:space="preserve"> Concevoir une progression pédagogique annuelle ou séquentielle</w:t>
      </w:r>
      <w:r>
        <w:rPr>
          <w:rFonts w:eastAsia="Century Gothic" w:cs="Century Gothic" w:ascii="Century Gothic" w:hAnsi="Century Gothic"/>
          <w:b/>
          <w:bCs/>
          <w:color w:val="000000"/>
          <w:sz w:val="21"/>
          <w:szCs w:val="21"/>
        </w:rPr>
        <w:br/>
        <w:t>Durée :</w:t>
      </w:r>
      <w:r>
        <w:rPr>
          <w:rFonts w:eastAsia="Century Gothic" w:cs="Century Gothic" w:ascii="Century Gothic" w:hAnsi="Century Gothic"/>
          <w:color w:val="000000"/>
          <w:sz w:val="21"/>
          <w:szCs w:val="21"/>
        </w:rPr>
        <w:t xml:space="preserve"> 6 heures</w:t>
      </w:r>
      <w:r>
        <w:rPr>
          <w:rFonts w:eastAsia="Century Gothic" w:cs="Century Gothic" w:ascii="Century Gothic" w:hAnsi="Century Gothic"/>
          <w:b/>
          <w:bCs/>
          <w:color w:val="000000"/>
          <w:sz w:val="21"/>
          <w:szCs w:val="21"/>
        </w:rPr>
        <w:br/>
        <w:t>Objectif :</w:t>
      </w:r>
      <w:r>
        <w:rPr>
          <w:rFonts w:eastAsia="Century Gothic" w:cs="Century Gothic" w:ascii="Century Gothic" w:hAnsi="Century Gothic"/>
          <w:color w:val="000000"/>
          <w:sz w:val="21"/>
          <w:szCs w:val="21"/>
        </w:rPr>
        <w:t xml:space="preserve"> À l’issue de ce module, le stagiaire sera capable de concevoir une programmation cohérente d’ateliers philosophiques pour enfants ou adolescents.</w:t>
        <w:br/>
        <w:t>Chapitre 1 : Définir une progression thématique adaptée à un cycle ou à une tranche d’âge</w:t>
        <w:br/>
        <w:t>Chapitre 2 : Créer une séquence pédagogique articulant plusieurs séances</w:t>
        <w:br/>
        <w:t>Chapitre 3 : Développer des outils de suivi des apprentissages</w:t>
        <w:br/>
        <w:t>Chapitre 4 : Analyser la cohérence pédagogique d’un cycle d’ateliers</w:t>
      </w:r>
    </w:p>
    <w:p>
      <w:pPr>
        <w:pStyle w:val="Normal"/>
        <w:widowControl/>
        <w:spacing w:lineRule="auto" w:line="240" w:before="210" w:after="210"/>
        <w:ind w:left="0" w:right="0" w:hanging="1"/>
        <w:jc w:val="left"/>
        <w:rPr/>
      </w:pPr>
      <w:r>
        <w:rPr>
          <w:rFonts w:eastAsia="Century Gothic" w:cs="Century Gothic" w:ascii="Century Gothic" w:hAnsi="Century Gothic"/>
          <w:color w:val="000000"/>
          <w:sz w:val="21"/>
          <w:szCs w:val="21"/>
        </w:rPr>
        <w:t>...</w:t>
        <w:br/>
        <w:t>Évaluation Module 5</w:t>
      </w:r>
    </w:p>
    <w:p>
      <w:pPr>
        <w:pStyle w:val="Normal"/>
        <w:widowControl/>
        <w:spacing w:lineRule="auto" w:line="240" w:before="0" w:after="0"/>
        <w:ind w:left="0" w:right="0" w:hanging="1"/>
        <w:jc w:val="left"/>
        <w:rPr/>
      </w:pPr>
      <w:r>
        <w:rPr>
          <w:rFonts w:eastAsia="Century Gothic" w:cs="Century Gothic" w:ascii="Century Gothic" w:hAnsi="Century Gothic"/>
          <w:b/>
          <w:bCs/>
          <w:color w:val="000000"/>
          <w:sz w:val="21"/>
          <w:szCs w:val="21"/>
        </w:rPr>
        <w:t>MODULE 6 :</w:t>
      </w:r>
      <w:r>
        <w:rPr>
          <w:rFonts w:eastAsia="Century Gothic" w:cs="Century Gothic" w:ascii="Century Gothic" w:hAnsi="Century Gothic"/>
          <w:color w:val="000000"/>
          <w:sz w:val="21"/>
          <w:szCs w:val="21"/>
        </w:rPr>
        <w:t xml:space="preserve"> Évaluer et ajuster une pratique professionnelle d’animation philosophique</w:t>
      </w:r>
      <w:r>
        <w:rPr>
          <w:rFonts w:eastAsia="Century Gothic" w:cs="Century Gothic" w:ascii="Century Gothic" w:hAnsi="Century Gothic"/>
          <w:b/>
          <w:bCs/>
          <w:color w:val="000000"/>
          <w:sz w:val="21"/>
          <w:szCs w:val="21"/>
        </w:rPr>
        <w:br/>
        <w:t>Durée :</w:t>
      </w:r>
      <w:r>
        <w:rPr>
          <w:rFonts w:eastAsia="Century Gothic" w:cs="Century Gothic" w:ascii="Century Gothic" w:hAnsi="Century Gothic"/>
          <w:color w:val="000000"/>
          <w:sz w:val="21"/>
          <w:szCs w:val="21"/>
        </w:rPr>
        <w:t xml:space="preserve"> 6 heures</w:t>
      </w:r>
      <w:r>
        <w:rPr>
          <w:rFonts w:eastAsia="Century Gothic" w:cs="Century Gothic" w:ascii="Century Gothic" w:hAnsi="Century Gothic"/>
          <w:b/>
          <w:bCs/>
          <w:color w:val="000000"/>
          <w:sz w:val="21"/>
          <w:szCs w:val="21"/>
        </w:rPr>
        <w:br/>
        <w:t>Objectif :</w:t>
      </w:r>
      <w:r>
        <w:rPr>
          <w:rFonts w:eastAsia="Century Gothic" w:cs="Century Gothic" w:ascii="Century Gothic" w:hAnsi="Century Gothic"/>
          <w:color w:val="000000"/>
          <w:sz w:val="21"/>
          <w:szCs w:val="21"/>
        </w:rPr>
        <w:t xml:space="preserve"> À l’issue de ce module, le stagiaire sera capable d’analyser une séance d’atelier philosophique et d’ajuster sa pratique professionnelle.</w:t>
        <w:br/>
        <w:t>Chapitre 1 : Définir des critères d’évaluation d’un atelier philosophique</w:t>
        <w:br/>
        <w:t>Chapitre 2 : Analyser une séance à l’aide d’une grille d’observation structurée</w:t>
        <w:br/>
        <w:t>Chapitre 3 : Créer des outils d’auto-évaluation professionnelle</w:t>
        <w:br/>
        <w:t>Chapitre 4 : Développer des axes d’amélioration à partir d’une analyse structurée</w:t>
      </w:r>
    </w:p>
    <w:p>
      <w:pPr>
        <w:pStyle w:val="Normal"/>
        <w:widowControl/>
        <w:spacing w:lineRule="auto" w:line="240" w:before="210" w:after="210"/>
        <w:ind w:left="0" w:right="0" w:hanging="1"/>
        <w:jc w:val="left"/>
        <w:rPr/>
      </w:pPr>
      <w:r>
        <w:rPr>
          <w:rFonts w:eastAsia="Century Gothic" w:cs="Century Gothic" w:ascii="Century Gothic" w:hAnsi="Century Gothic"/>
          <w:color w:val="000000"/>
          <w:sz w:val="21"/>
          <w:szCs w:val="21"/>
        </w:rPr>
        <w:t>...</w:t>
        <w:br/>
        <w:t>Évaluation Module 6</w:t>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2"/>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ind w:left="0" w:hanging="0"/>
        <w:jc w:val="left"/>
        <w:rPr>
          <w:rFonts w:ascii="Century Gothic" w:hAnsi="Century Gothic" w:eastAsia="Century Gothic" w:cs="Century Gothic"/>
          <w:color w:val="FF0000"/>
        </w:rPr>
      </w:pPr>
      <w:r>
        <w:rPr>
          <w:rFonts w:eastAsia="Century Gothic" w:cs="Century Gothic" w:ascii="Century Gothic" w:hAnsi="Century Gothic"/>
          <w:color w:val="FF0000"/>
        </w:rPr>
      </w:r>
    </w:p>
    <w:p>
      <w:pPr>
        <w:pStyle w:val="Normal"/>
        <w:spacing w:lineRule="auto" w:line="240" w:before="0" w:after="200"/>
        <w:ind w:hanging="0"/>
        <w:jc w:val="center"/>
        <w:rPr>
          <w:rFonts w:ascii="Century Gothic" w:hAnsi="Century Gothic" w:eastAsia="Century Gothic" w:cs="Century Gothic"/>
          <w:color w:val="FF0000"/>
        </w:rPr>
      </w:pPr>
      <w:r>
        <w:rPr/>
        <w:drawing>
          <wp:inline distT="0" distB="0" distL="0" distR="0">
            <wp:extent cx="5504180" cy="7767955"/>
            <wp:effectExtent l="0" t="0" r="0" b="0"/>
            <wp:docPr id="1"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descr=""/>
                    <pic:cNvPicPr>
                      <a:picLocks noChangeAspect="1" noChangeArrowheads="1"/>
                    </pic:cNvPicPr>
                  </pic:nvPicPr>
                  <pic:blipFill>
                    <a:blip r:embed="rId2"/>
                    <a:stretch>
                      <a:fillRect/>
                    </a:stretch>
                  </pic:blipFill>
                  <pic:spPr bwMode="auto">
                    <a:xfrm>
                      <a:off x="0" y="0"/>
                      <a:ext cx="5504180" cy="7767955"/>
                    </a:xfrm>
                    <a:prstGeom prst="rect">
                      <a:avLst/>
                    </a:prstGeom>
                  </pic:spPr>
                </pic:pic>
              </a:graphicData>
            </a:graphic>
          </wp:inline>
        </w:drawing>
      </w:r>
    </w:p>
    <w:p>
      <w:pPr>
        <w:pStyle w:val="Normal"/>
        <w:ind w:left="0" w:hanging="0"/>
        <w:jc w:val="center"/>
        <w:rPr/>
      </w:pPr>
      <w:r>
        <w:rPr/>
        <w:t xml:space="preserve"> </w:t>
      </w:r>
    </w:p>
    <w:p>
      <w:pPr>
        <w:pStyle w:val="Normal"/>
        <w:spacing w:lineRule="auto" w:line="240" w:before="0" w:after="200"/>
        <w:ind w:hanging="0"/>
        <w:jc w:val="center"/>
        <w:rPr/>
      </w:pPr>
      <w:r>
        <w:rPr/>
        <w:drawing>
          <wp:inline distT="0" distB="0" distL="0" distR="0">
            <wp:extent cx="5639435" cy="7958455"/>
            <wp:effectExtent l="0" t="0" r="0" b="0"/>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3"/>
                    <a:stretch>
                      <a:fillRect/>
                    </a:stretch>
                  </pic:blipFill>
                  <pic:spPr bwMode="auto">
                    <a:xfrm>
                      <a:off x="0" y="0"/>
                      <a:ext cx="5639435" cy="7958455"/>
                    </a:xfrm>
                    <a:prstGeom prst="rect">
                      <a:avLst/>
                    </a:prstGeom>
                  </pic:spPr>
                </pic:pic>
              </a:graphicData>
            </a:graphic>
          </wp:inline>
        </w:drawing>
      </w:r>
    </w:p>
    <w:p>
      <w:pPr>
        <w:pStyle w:val="Normal"/>
        <w:ind w:left="0" w:hanging="0"/>
        <w:rPr/>
      </w:pPr>
      <w:r>
        <w:rPr/>
      </w:r>
    </w:p>
    <w:p>
      <w:pPr>
        <w:pStyle w:val="Normal"/>
        <w:ind w:left="0" w:hanging="0"/>
        <w:rPr/>
      </w:pPr>
      <w:r>
        <w:rPr/>
      </w:r>
    </w:p>
    <w:p>
      <w:pPr>
        <w:pStyle w:val="Normal"/>
        <w:spacing w:lineRule="auto" w:line="259" w:before="0" w:after="160"/>
        <w:ind w:left="0" w:hanging="0"/>
        <w:jc w:val="center"/>
        <w:rPr>
          <w:rFonts w:ascii="Century Gothic" w:hAnsi="Century Gothic" w:eastAsia="Century Gothic" w:cs="Century Gothic"/>
          <w:b/>
          <w:b/>
          <w:bCs/>
          <w:position w:val="0"/>
          <w:sz w:val="24"/>
          <w:sz w:val="36"/>
          <w:szCs w:val="36"/>
          <w:vertAlign w:val="baseline"/>
        </w:rPr>
      </w:pPr>
      <w:r>
        <w:rPr>
          <w:rFonts w:eastAsia="Century Gothic" w:cs="Century Gothic" w:ascii="Century Gothic" w:hAnsi="Century Gothic"/>
          <w:b/>
          <w:bCs/>
          <w:sz w:val="36"/>
          <w:szCs w:val="36"/>
        </w:rPr>
        <w:t>ACCESSIBILITÉ</w:t>
      </w:r>
    </w:p>
    <w:p>
      <w:pPr>
        <w:pStyle w:val="Normal"/>
        <w:spacing w:lineRule="auto" w:line="259" w:before="0" w:after="160"/>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59" w:before="0" w:after="16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En application de l’article 47 de la loi nº 2005-102 du 11 février 2005 et du décret n° 2019-768 du 24 juillet 2019 ce document présente la politique de  Nadia THUILLIERS en matière d’accessibilité numérique.</w:t>
      </w:r>
    </w:p>
    <w:p>
      <w:pPr>
        <w:pStyle w:val="Normal"/>
        <w:spacing w:lineRule="auto" w:line="259" w:before="0" w:after="160"/>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numPr>
          <w:ilvl w:val="0"/>
          <w:numId w:val="2"/>
        </w:numPr>
        <w:spacing w:lineRule="auto" w:line="259" w:before="0" w:after="160"/>
        <w:ind w:left="720" w:hanging="360"/>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 xml:space="preserve">RESPONSABLE </w:t>
      </w:r>
      <w:r>
        <w:rPr>
          <w:rFonts w:eastAsia="Century Gothic" w:cs="Century Gothic" w:ascii="Century Gothic" w:hAnsi="Century Gothic"/>
          <w:b/>
          <w:bCs/>
          <w:sz w:val="20"/>
          <w:szCs w:val="20"/>
        </w:rPr>
        <w:t>ACCESSIBILITÉ</w:t>
      </w:r>
      <w:r>
        <w:rPr>
          <w:rFonts w:eastAsia="Century Gothic" w:cs="Century Gothic" w:ascii="Century Gothic" w:hAnsi="Century Gothic"/>
          <w:b/>
          <w:bCs/>
          <w:position w:val="0"/>
          <w:sz w:val="20"/>
          <w:sz w:val="20"/>
          <w:szCs w:val="20"/>
          <w:vertAlign w:val="baseline"/>
        </w:rPr>
        <w:t xml:space="preserve"> </w:t>
      </w:r>
      <w:r>
        <w:rPr>
          <w:rFonts w:eastAsia="Century Gothic" w:cs="Century Gothic" w:ascii="Century Gothic" w:hAnsi="Century Gothic"/>
          <w:b/>
          <w:bCs/>
          <w:sz w:val="20"/>
          <w:szCs w:val="20"/>
        </w:rPr>
        <w:t>NUMÉRIQUE</w:t>
      </w:r>
    </w:p>
    <w:p>
      <w:pPr>
        <w:pStyle w:val="Normal"/>
        <w:spacing w:lineRule="auto" w:line="259" w:before="0" w:after="16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Pour veiller continuellement à l’accessibilité des contenus numériques,  Nadia THUILLIERS a nommé un responsable de l’accessibilité numérique.</w:t>
      </w:r>
    </w:p>
    <w:p>
      <w:pPr>
        <w:pStyle w:val="Normal"/>
        <w:spacing w:lineRule="auto" w:line="259" w:before="0" w:after="16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Celui-ci a pour missions :</w:t>
      </w:r>
    </w:p>
    <w:p>
      <w:pPr>
        <w:pStyle w:val="Normal"/>
        <w:numPr>
          <w:ilvl w:val="0"/>
          <w:numId w:val="3"/>
        </w:numPr>
        <w:spacing w:lineRule="auto" w:line="259" w:before="0" w:after="160"/>
        <w:ind w:left="720" w:hanging="36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De veiller à la mise en place de processus pour l'accessibilité des contenus numériques ;</w:t>
      </w:r>
    </w:p>
    <w:p>
      <w:pPr>
        <w:pStyle w:val="Normal"/>
        <w:numPr>
          <w:ilvl w:val="0"/>
          <w:numId w:val="3"/>
        </w:numPr>
        <w:spacing w:lineRule="auto" w:line="259" w:before="0" w:after="160"/>
        <w:ind w:left="720" w:hanging="36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De rendre compte au responsable de la formation des contenus et des services numériques, ainsi que de tout besoin d'amélioration ;</w:t>
      </w:r>
    </w:p>
    <w:p>
      <w:pPr>
        <w:pStyle w:val="Normal"/>
        <w:numPr>
          <w:ilvl w:val="0"/>
          <w:numId w:val="3"/>
        </w:numPr>
        <w:spacing w:lineRule="auto" w:line="259" w:before="0" w:after="160"/>
        <w:ind w:left="720" w:hanging="36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De s'assurer que la sensibilisation aux exigences de l'accessibilité est encouragée dans l’établissement ;</w:t>
      </w:r>
    </w:p>
    <w:p>
      <w:pPr>
        <w:pStyle w:val="Normal"/>
        <w:numPr>
          <w:ilvl w:val="0"/>
          <w:numId w:val="3"/>
        </w:numPr>
        <w:spacing w:lineRule="auto" w:line="259" w:before="0" w:after="160"/>
        <w:ind w:left="720" w:hanging="36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D’être l'interlocuteur premier sur tous les sujets d'accessibilité numérique.</w:t>
      </w:r>
    </w:p>
    <w:p>
      <w:pPr>
        <w:pStyle w:val="Normal"/>
        <w:spacing w:lineRule="auto" w:line="259" w:before="0" w:after="160"/>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numPr>
          <w:ilvl w:val="0"/>
          <w:numId w:val="2"/>
        </w:numPr>
        <w:spacing w:lineRule="auto" w:line="259" w:before="0" w:after="160"/>
        <w:ind w:left="720" w:hanging="360"/>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ACTION DE FORMATION ET DE SENSIBILISATION</w:t>
      </w:r>
    </w:p>
    <w:p>
      <w:pPr>
        <w:pStyle w:val="Normal"/>
        <w:spacing w:lineRule="auto" w:line="259" w:before="0" w:after="16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Pour répondre au besoin de sensibilisation et de formation des membres de  Nadia THUILLIERS,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pPr>
        <w:pStyle w:val="Normal"/>
        <w:spacing w:lineRule="auto" w:line="259" w:before="0" w:after="16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numPr>
          <w:ilvl w:val="0"/>
          <w:numId w:val="2"/>
        </w:numPr>
        <w:spacing w:lineRule="auto" w:line="259" w:before="0" w:after="160"/>
        <w:ind w:left="720" w:hanging="36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GUIDE DES BONNES PRATIQUES</w:t>
      </w:r>
    </w:p>
    <w:p>
      <w:pPr>
        <w:pStyle w:val="Normal"/>
        <w:ind w:left="0" w:hanging="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 xml:space="preserve">Pour que la prise en compte de l’accessibilité dans la fabrication des contenus et la mise en place des services numériques deviennent des éléments de la qualité, chaque pôle </w:t>
      </w:r>
      <w:r>
        <w:rPr>
          <w:rFonts w:eastAsia="Century Gothic" w:cs="Century Gothic" w:ascii="Century Gothic" w:hAnsi="Century Gothic"/>
          <w:sz w:val="20"/>
          <w:szCs w:val="20"/>
        </w:rPr>
        <w:t>intégrera</w:t>
      </w:r>
      <w:r>
        <w:rPr>
          <w:rFonts w:eastAsia="Century Gothic" w:cs="Century Gothic" w:ascii="Century Gothic" w:hAnsi="Century Gothic"/>
          <w:position w:val="0"/>
          <w:sz w:val="20"/>
          <w:sz w:val="20"/>
          <w:szCs w:val="20"/>
          <w:vertAlign w:val="baseline"/>
        </w:rPr>
        <w:t xml:space="preserve"> les bonnes pratiques de l’accessibilité adaptées à ses contenus et outils. Cette adaptation sera issue des expériences faites lors de nos formations.</w:t>
      </w:r>
    </w:p>
    <w:p>
      <w:pPr>
        <w:pStyle w:val="Normal"/>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ind w:left="0" w:hanging="0"/>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59" w:before="0" w:after="160"/>
        <w:ind w:left="0" w:hanging="0"/>
        <w:jc w:val="center"/>
        <w:rPr>
          <w:rFonts w:ascii="Century Gothic" w:hAnsi="Century Gothic" w:eastAsia="Century Gothic" w:cs="Century Gothic"/>
          <w:b/>
          <w:b/>
          <w:bCs/>
          <w:position w:val="0"/>
          <w:sz w:val="24"/>
          <w:sz w:val="36"/>
          <w:szCs w:val="36"/>
          <w:vertAlign w:val="baseline"/>
        </w:rPr>
      </w:pPr>
      <w:r>
        <w:rPr>
          <w:rFonts w:eastAsia="Century Gothic" w:cs="Century Gothic" w:ascii="Century Gothic" w:hAnsi="Century Gothic"/>
          <w:b/>
          <w:bCs/>
          <w:position w:val="0"/>
          <w:sz w:val="36"/>
          <w:sz w:val="36"/>
          <w:szCs w:val="36"/>
          <w:vertAlign w:val="baseline"/>
        </w:rPr>
        <w:t xml:space="preserve">CONDITIONS </w:t>
      </w:r>
      <w:r>
        <w:rPr>
          <w:rFonts w:eastAsia="Century Gothic" w:cs="Century Gothic" w:ascii="Century Gothic" w:hAnsi="Century Gothic"/>
          <w:b/>
          <w:bCs/>
          <w:sz w:val="36"/>
          <w:szCs w:val="36"/>
        </w:rPr>
        <w:t>GÉNÉRALES</w:t>
      </w:r>
      <w:r>
        <w:rPr>
          <w:rFonts w:eastAsia="Century Gothic" w:cs="Century Gothic" w:ascii="Century Gothic" w:hAnsi="Century Gothic"/>
          <w:b/>
          <w:bCs/>
          <w:position w:val="0"/>
          <w:sz w:val="36"/>
          <w:sz w:val="36"/>
          <w:szCs w:val="36"/>
          <w:vertAlign w:val="baseline"/>
        </w:rPr>
        <w:t xml:space="preserve"> DE VENTE</w:t>
      </w:r>
    </w:p>
    <w:p>
      <w:pPr>
        <w:pStyle w:val="Normal"/>
        <w:spacing w:lineRule="auto" w:line="240" w:before="480" w:after="120"/>
        <w:ind w:left="0" w:hanging="0"/>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Modalités de règlement</w:t>
      </w:r>
    </w:p>
    <w:p>
      <w:pPr>
        <w:pStyle w:val="Normal"/>
        <w:spacing w:lineRule="auto" w:line="240" w:before="20" w:after="2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Le paiement sera dû en totalité à réception d'une facture émise par l'organisme de formation à destination du bénéficiaire.</w:t>
      </w:r>
    </w:p>
    <w:p>
      <w:pPr>
        <w:pStyle w:val="Normal"/>
        <w:spacing w:lineRule="auto" w:line="259" w:before="0" w:after="16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40" w:before="20" w:after="2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Non réalisation de la prestation de formation</w:t>
      </w:r>
    </w:p>
    <w:p>
      <w:pPr>
        <w:pStyle w:val="Normal"/>
        <w:spacing w:lineRule="auto" w:line="240" w:before="240" w:after="2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position w:val="0"/>
          <w:sz w:val="20"/>
          <w:sz w:val="20"/>
          <w:szCs w:val="20"/>
          <w:vertAlign w:val="baseline"/>
        </w:rPr>
        <w:t>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p>
    <w:p>
      <w:pPr>
        <w:pStyle w:val="Normal"/>
        <w:spacing w:lineRule="auto" w:line="240" w:before="20" w:after="2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ab/>
        <w:tab/>
        <w:tab/>
        <w:tab/>
        <w:tab/>
        <w:tab/>
      </w:r>
    </w:p>
    <w:p>
      <w:pPr>
        <w:pStyle w:val="Normal"/>
        <w:spacing w:lineRule="auto" w:line="240"/>
        <w:ind w:left="0" w:hanging="0"/>
        <w:jc w:val="both"/>
        <w:rPr>
          <w:rFonts w:ascii="Century Gothic" w:hAnsi="Century Gothic" w:eastAsia="Century Gothic" w:cs="Century Gothic"/>
          <w:b/>
          <w:b/>
          <w:bCs/>
          <w:position w:val="0"/>
          <w:sz w:val="20"/>
          <w:sz w:val="20"/>
          <w:szCs w:val="20"/>
          <w:vertAlign w:val="baseline"/>
        </w:rPr>
      </w:pPr>
      <w:r>
        <w:rPr>
          <w:rFonts w:eastAsia="Century Gothic" w:cs="Century Gothic" w:ascii="Century Gothic" w:hAnsi="Century Gothic"/>
          <w:b/>
          <w:bCs/>
          <w:position w:val="0"/>
          <w:sz w:val="20"/>
          <w:sz w:val="20"/>
          <w:szCs w:val="20"/>
          <w:vertAlign w:val="baseline"/>
        </w:rPr>
      </w:r>
    </w:p>
    <w:p>
      <w:pPr>
        <w:pStyle w:val="Normal"/>
        <w:spacing w:lineRule="auto" w:line="24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Obligations et force majeure</w:t>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ab/>
        <w:tab/>
        <w:tab/>
        <w:tab/>
        <w:tab/>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Dans le cadre de ses prestations de formation, «  Nadia THUILLIERS » est tenue à une obligation de moyen et non de résultat vis</w:t>
      </w:r>
      <w:r>
        <w:rPr>
          <w:rFonts w:eastAsia="Cambria Math" w:cs="Cambria Math" w:ascii="Cambria Math" w:hAnsi="Cambria Math"/>
          <w:position w:val="0"/>
          <w:sz w:val="20"/>
          <w:sz w:val="20"/>
          <w:szCs w:val="20"/>
          <w:vertAlign w:val="baseline"/>
        </w:rPr>
        <w:t>‐</w:t>
      </w:r>
      <w:r>
        <w:rPr>
          <w:rFonts w:eastAsia="Century Gothic" w:cs="Century Gothic" w:ascii="Century Gothic" w:hAnsi="Century Gothic"/>
          <w:position w:val="0"/>
          <w:sz w:val="20"/>
          <w:sz w:val="20"/>
          <w:szCs w:val="20"/>
          <w:vertAlign w:val="baseline"/>
        </w:rPr>
        <w:t>à</w:t>
      </w:r>
      <w:r>
        <w:rPr>
          <w:rFonts w:eastAsia="Cambria Math" w:cs="Cambria Math" w:ascii="Cambria Math" w:hAnsi="Cambria Math"/>
          <w:position w:val="0"/>
          <w:sz w:val="20"/>
          <w:sz w:val="20"/>
          <w:szCs w:val="20"/>
          <w:vertAlign w:val="baseline"/>
        </w:rPr>
        <w:t>‐</w:t>
      </w:r>
      <w:r>
        <w:rPr>
          <w:rFonts w:eastAsia="Century Gothic" w:cs="Century Gothic" w:ascii="Century Gothic" w:hAnsi="Century Gothic"/>
          <w:position w:val="0"/>
          <w:sz w:val="20"/>
          <w:sz w:val="20"/>
          <w:szCs w:val="20"/>
          <w:vertAlign w:val="baseline"/>
        </w:rPr>
        <w:t>vis de ses Clients ou de ses Stagiaires. «  Nadia THUILLIERS » ne pourra ê</w:t>
      </w:r>
      <w:r>
        <w:rPr>
          <w:rFonts w:eastAsia="Arial" w:cs="Arial" w:ascii="Arial" w:hAnsi="Arial"/>
          <w:position w:val="0"/>
          <w:sz w:val="20"/>
          <w:sz w:val="20"/>
          <w:szCs w:val="20"/>
          <w:vertAlign w:val="baseline"/>
        </w:rPr>
        <w:t>t</w:t>
      </w:r>
      <w:r>
        <w:rPr>
          <w:rFonts w:eastAsia="Century Gothic" w:cs="Century Gothic" w:ascii="Century Gothic" w:hAnsi="Century Gothic"/>
          <w:position w:val="0"/>
          <w:sz w:val="20"/>
          <w:sz w:val="20"/>
          <w:szCs w:val="20"/>
          <w:vertAlign w:val="baseline"/>
        </w:rPr>
        <w:t>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Nadia THUILLIERS », les désastres naturels, les incendies, l’interruption des télécommunications, de l’approvisionnement en énergie, ou des transports de tout type, ou toute autre circonstance échappant au contrôle raisonnable de «  Nadia THUILLIERS ». </w:t>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ab/>
        <w:tab/>
        <w:tab/>
        <w:tab/>
      </w:r>
    </w:p>
    <w:p>
      <w:pPr>
        <w:pStyle w:val="Normal"/>
        <w:spacing w:lineRule="auto" w:line="24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4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Devis et attestation</w:t>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ab/>
        <w:tab/>
        <w:tab/>
        <w:tab/>
        <w:tab/>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Pour chaque action de formation, un devis est adressé en deux exemplaires par «  Nadia THUILLIERS » au Client. Un exemplaire dû</w:t>
      </w:r>
      <w:r>
        <w:rPr>
          <w:rFonts w:eastAsia="Arial" w:cs="Arial" w:ascii="Arial" w:hAnsi="Arial"/>
          <w:position w:val="0"/>
          <w:sz w:val="20"/>
          <w:sz w:val="20"/>
          <w:szCs w:val="20"/>
          <w:vertAlign w:val="baseline"/>
        </w:rPr>
        <w:t>m</w:t>
      </w:r>
      <w:r>
        <w:rPr>
          <w:rFonts w:eastAsia="Century Gothic" w:cs="Century Gothic" w:ascii="Century Gothic" w:hAnsi="Century Gothic"/>
          <w:position w:val="0"/>
          <w:sz w:val="20"/>
          <w:sz w:val="20"/>
          <w:szCs w:val="20"/>
          <w:vertAlign w:val="baseline"/>
        </w:rPr>
        <w:t>ent renseigné, daté, tamponné, signé et revê</w:t>
      </w:r>
      <w:r>
        <w:rPr>
          <w:rFonts w:eastAsia="Arial" w:cs="Arial" w:ascii="Arial" w:hAnsi="Arial"/>
          <w:position w:val="0"/>
          <w:sz w:val="20"/>
          <w:sz w:val="20"/>
          <w:szCs w:val="20"/>
          <w:vertAlign w:val="baseline"/>
        </w:rPr>
        <w:t>t</w:t>
      </w:r>
      <w:r>
        <w:rPr>
          <w:rFonts w:eastAsia="Century Gothic" w:cs="Century Gothic" w:ascii="Century Gothic" w:hAnsi="Century Gothic"/>
          <w:position w:val="0"/>
          <w:sz w:val="20"/>
          <w:sz w:val="20"/>
          <w:szCs w:val="20"/>
          <w:vertAlign w:val="baseline"/>
        </w:rPr>
        <w:t xml:space="preserve">u de la mention « Bon pour accord » </w:t>
      </w:r>
      <w:r>
        <w:rPr>
          <w:rFonts w:eastAsia="Century Gothic" w:cs="Century Gothic" w:ascii="Century Gothic" w:hAnsi="Century Gothic"/>
          <w:sz w:val="20"/>
          <w:szCs w:val="20"/>
        </w:rPr>
        <w:t>doit</w:t>
      </w:r>
      <w:r>
        <w:rPr>
          <w:rFonts w:eastAsia="Century Gothic" w:cs="Century Gothic" w:ascii="Century Gothic" w:hAnsi="Century Gothic"/>
          <w:position w:val="0"/>
          <w:sz w:val="20"/>
          <w:sz w:val="20"/>
          <w:szCs w:val="20"/>
          <w:vertAlign w:val="baseline"/>
        </w:rPr>
        <w:t xml:space="preserve"> être retourné à «  Nadia THUILLIERS » par e-mail. Le cas échéant une convention particulière peut être établie entre «  Nadia THUILLIERS », l’OPCO ou le Client. À l’issue de la formation, «  Nadia THUILLIERS » remet une attestation de formation au Stagiaire. Dans le cas d’une prise en charge partielle ou totale par un OPCO, «  Nadia THUILLIERS » lui fait parvenir un exemplaire de la feuille d’émargement accompagné de la facture. Une attestation d’assiduité pour chaque Stagiaire peut être fournie au Client, à sa demande. </w:t>
        <w:tab/>
      </w:r>
    </w:p>
    <w:p>
      <w:pPr>
        <w:pStyle w:val="Normal"/>
        <w:spacing w:lineRule="auto" w:line="240" w:before="480" w:after="12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Dédommagement, réparation ou dédit</w:t>
      </w:r>
    </w:p>
    <w:p>
      <w:pPr>
        <w:pStyle w:val="Normal"/>
        <w:spacing w:lineRule="auto" w:line="240" w:before="20" w:after="2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En cas de renoncement par le bénéficiaire avant le début du programme de formation</w:t>
      </w:r>
    </w:p>
    <w:p>
      <w:pPr>
        <w:pStyle w:val="Normal"/>
        <w:numPr>
          <w:ilvl w:val="0"/>
          <w:numId w:val="1"/>
        </w:numPr>
        <w:spacing w:lineRule="auto" w:line="240" w:before="240" w:after="160"/>
        <w:ind w:left="720" w:hanging="36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Dans un délai compris entre 2 semaines et 1 semaine avant le début de la formation : 50% du coût de la formation est dû.</w:t>
        <w:br/>
        <w:t xml:space="preserve"> </w:t>
        <w:tab/>
      </w:r>
    </w:p>
    <w:p>
      <w:pPr>
        <w:pStyle w:val="Normal"/>
        <w:numPr>
          <w:ilvl w:val="0"/>
          <w:numId w:val="1"/>
        </w:numPr>
        <w:spacing w:lineRule="auto" w:line="240" w:before="0" w:after="160"/>
        <w:ind w:left="720" w:hanging="36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Dans un délai compris entre 1 semaine et 48 heures avant le début de la formation : 75 % du coût de la formation est dû.</w:t>
        <w:br/>
        <w:t xml:space="preserve"> </w:t>
        <w:tab/>
      </w:r>
    </w:p>
    <w:p>
      <w:pPr>
        <w:pStyle w:val="Normal"/>
        <w:numPr>
          <w:ilvl w:val="0"/>
          <w:numId w:val="1"/>
        </w:numPr>
        <w:spacing w:lineRule="auto" w:line="240" w:before="0" w:after="240"/>
        <w:ind w:left="720" w:hanging="360"/>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Dans un délai inférieur à 48 heures avant le début de la formation : 100 % du coût de la formation est dû.</w:t>
      </w:r>
    </w:p>
    <w:p>
      <w:pPr>
        <w:pStyle w:val="Normal"/>
        <w:spacing w:lineRule="auto" w:line="240" w:before="20" w:after="2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Le coût ne pourra faire l’objet d’une demande de remboursement ou de prise en charge par l'OPCO.</w:t>
      </w:r>
    </w:p>
    <w:p>
      <w:pPr>
        <w:pStyle w:val="Normal"/>
        <w:spacing w:lineRule="auto" w:line="240" w:before="480" w:after="12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Propriété́ intellectuelle et copyright</w:t>
        <w:tab/>
        <w:tab/>
        <w:tab/>
        <w:tab/>
        <w:tab/>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 xml:space="preserve">L’ensemble des fiches de présentation, contenus et supports pédagogiques quelle qu’en soit la forme (papier, électronique, numérique, orale...) utilisés par «  Nadia THUILLIERS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Nadia THUILLIERS ». Cette interdiction porte, en particulier, sur toute utilisation faite par le Client et le Stagiaire en vue de l’organisation ou l’animation de formations.  </w:t>
      </w:r>
    </w:p>
    <w:p>
      <w:pPr>
        <w:pStyle w:val="Normal"/>
        <w:spacing w:lineRule="auto" w:line="240" w:before="400" w:after="12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Descriptif et programme des formations</w:t>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Les contenus des programmes, tels qu’ils figurent sur les fiches de présentation des formations sont fournis à titre indicatif. L’intervenant ou le responsable pédagogique se réservent le droit de les modifier en fonction de l’actualité, du niveau des participants ou de la dynamique du groupe. </w:t>
      </w:r>
    </w:p>
    <w:p>
      <w:pPr>
        <w:pStyle w:val="Normal"/>
        <w:spacing w:lineRule="auto" w:line="24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4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4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Confidentialité et communication</w:t>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ab/>
        <w:tab/>
        <w:tab/>
        <w:tab/>
        <w:tab/>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  Nadia THUILLIERS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Nadia THUILLIERS » au Client. «  Nadia THUILLIERS » s’engage à ne pas communiquer à des tiers autres que les partenaires avec lesquels sont organisées les formations et aux OPCO, les informations transmises par le Client y compris les informations concernant les Stagiaires. Cependant, le Client accepte d’être cité par «  Nadia THUILLIERS » comme client de ses formations. À cet effet, le Client autorise «  Nadia THUILLIERS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pPr>
        <w:pStyle w:val="Normal"/>
        <w:tabs>
          <w:tab w:val="left" w:pos="720" w:leader="none"/>
          <w:tab w:val="left" w:pos="1440" w:leader="none"/>
          <w:tab w:val="left" w:pos="2160" w:leader="none"/>
          <w:tab w:val="left" w:pos="2880" w:leader="none"/>
          <w:tab w:val="left" w:pos="3600" w:leader="none"/>
          <w:tab w:val="left" w:pos="6915" w:leader="none"/>
        </w:tabs>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ab/>
        <w:tab/>
        <w:tab/>
        <w:tab/>
        <w:tab/>
        <w:tab/>
      </w:r>
    </w:p>
    <w:p>
      <w:pPr>
        <w:pStyle w:val="Normal"/>
        <w:spacing w:lineRule="auto" w:line="24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4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tabs>
          <w:tab w:val="left" w:pos="7335" w:leader="none"/>
        </w:tabs>
        <w:spacing w:lineRule="auto" w:line="24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Protection et accès aux informations à caractère personnel</w:t>
        <w:tab/>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ab/>
        <w:tab/>
        <w:tab/>
        <w:tab/>
        <w:tab/>
      </w:r>
    </w:p>
    <w:p>
      <w:pPr>
        <w:pStyle w:val="Normal"/>
        <w:spacing w:lineRule="auto" w:line="24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Le Client s’engage à informer chaque Stagiaire que :</w:t>
      </w:r>
    </w:p>
    <w:p>
      <w:pPr>
        <w:pStyle w:val="Normal"/>
        <w:spacing w:lineRule="auto" w:line="240"/>
        <w:ind w:left="0" w:firstLine="708"/>
        <w:jc w:val="both"/>
        <w:rPr>
          <w:rFonts w:ascii="Century Gothic" w:hAnsi="Century Gothic" w:eastAsia="Century Gothic" w:cs="Century Gothic"/>
          <w:position w:val="0"/>
          <w:sz w:val="24"/>
          <w:sz w:val="20"/>
          <w:szCs w:val="20"/>
          <w:vertAlign w:val="baseline"/>
        </w:rPr>
      </w:pPr>
      <w:r>
        <w:rPr>
          <w:rFonts w:eastAsia="Cambria Math" w:cs="Cambria Math" w:ascii="Cambria Math" w:hAnsi="Cambria Math"/>
          <w:position w:val="0"/>
          <w:sz w:val="20"/>
          <w:sz w:val="20"/>
          <w:szCs w:val="20"/>
          <w:vertAlign w:val="baseline"/>
        </w:rPr>
        <w:t>‐</w:t>
      </w:r>
      <w:r>
        <w:rPr>
          <w:rFonts w:eastAsia="Century Gothic" w:cs="Century Gothic" w:ascii="Century Gothic" w:hAnsi="Century Gothic"/>
          <w:position w:val="0"/>
          <w:sz w:val="20"/>
          <w:sz w:val="20"/>
          <w:szCs w:val="20"/>
          <w:vertAlign w:val="baseline"/>
        </w:rPr>
        <w:t xml:space="preserve"> </w:t>
      </w:r>
      <w:r>
        <w:rPr>
          <w:rFonts w:eastAsia="Century Gothic" w:cs="Century Gothic" w:ascii="Century Gothic" w:hAnsi="Century Gothic"/>
          <w:position w:val="0"/>
          <w:sz w:val="20"/>
          <w:sz w:val="20"/>
          <w:szCs w:val="20"/>
          <w:vertAlign w:val="baseline"/>
        </w:rPr>
        <w:t xml:space="preserve">des données à caractère personnel le concernant sont collectées et traitées aux fins de suivi de la validation de la formation et d’amélioration de l’offre de «  Nadia THUILLIERS » </w:t>
      </w:r>
    </w:p>
    <w:p>
      <w:pPr>
        <w:pStyle w:val="Normal"/>
        <w:spacing w:lineRule="auto" w:line="240"/>
        <w:ind w:left="0" w:firstLine="708"/>
        <w:jc w:val="both"/>
        <w:rPr>
          <w:rFonts w:ascii="Century Gothic" w:hAnsi="Century Gothic" w:eastAsia="Century Gothic" w:cs="Century Gothic"/>
          <w:position w:val="0"/>
          <w:sz w:val="24"/>
          <w:sz w:val="20"/>
          <w:szCs w:val="20"/>
          <w:vertAlign w:val="baseline"/>
        </w:rPr>
      </w:pPr>
      <w:r>
        <w:rPr>
          <w:rFonts w:eastAsia="Cambria Math" w:cs="Cambria Math" w:ascii="Cambria Math" w:hAnsi="Cambria Math"/>
          <w:position w:val="0"/>
          <w:sz w:val="20"/>
          <w:sz w:val="20"/>
          <w:szCs w:val="20"/>
          <w:vertAlign w:val="baseline"/>
        </w:rPr>
        <w:t>‐</w:t>
      </w:r>
      <w:r>
        <w:rPr>
          <w:rFonts w:eastAsia="Century Gothic" w:cs="Century Gothic" w:ascii="Century Gothic" w:hAnsi="Century Gothic"/>
          <w:position w:val="0"/>
          <w:sz w:val="20"/>
          <w:sz w:val="20"/>
          <w:szCs w:val="20"/>
          <w:vertAlign w:val="baseline"/>
        </w:rPr>
        <w:t xml:space="preserve"> </w:t>
      </w:r>
      <w:r>
        <w:rPr>
          <w:rFonts w:eastAsia="Century Gothic" w:cs="Century Gothic" w:ascii="Century Gothic" w:hAnsi="Century Gothic"/>
          <w:sz w:val="20"/>
          <w:szCs w:val="20"/>
        </w:rPr>
        <w:t>Conformément</w:t>
      </w:r>
      <w:r>
        <w:rPr>
          <w:rFonts w:eastAsia="Century Gothic" w:cs="Century Gothic" w:ascii="Century Gothic" w:hAnsi="Century Gothic"/>
          <w:position w:val="0"/>
          <w:sz w:val="20"/>
          <w:sz w:val="20"/>
          <w:szCs w:val="20"/>
          <w:vertAlign w:val="baseline"/>
        </w:rPr>
        <w:t xml:space="preserve"> à la loi n° 78</w:t>
      </w:r>
      <w:r>
        <w:rPr>
          <w:rFonts w:eastAsia="Cambria Math" w:cs="Cambria Math" w:ascii="Cambria Math" w:hAnsi="Cambria Math"/>
          <w:position w:val="0"/>
          <w:sz w:val="20"/>
          <w:sz w:val="20"/>
          <w:szCs w:val="20"/>
          <w:vertAlign w:val="baseline"/>
        </w:rPr>
        <w:t>‐</w:t>
      </w:r>
      <w:r>
        <w:rPr>
          <w:rFonts w:eastAsia="Century Gothic" w:cs="Century Gothic" w:ascii="Century Gothic" w:hAnsi="Century Gothic"/>
          <w:position w:val="0"/>
          <w:sz w:val="20"/>
          <w:sz w:val="20"/>
          <w:szCs w:val="20"/>
          <w:vertAlign w:val="baseline"/>
        </w:rPr>
        <w:t>17 du 6 janvier 1978, le Stagiaire dispose d’un droit d’accès, de modification, de rectification des données à caractère personnel le concernant. Le Stagiaire pourra exercer ce droit en écrivant à : «  Nadia THUILLIERS » ou par voie électronique à : «  Nadia THUILLIERS ». En particulier, «  Nadia THUILLIERS » conservera les données liées au parcours et à l’évaluation des acquis du Stagiaire, pour une période n’excédant pas la durée nécessaire à l’appréciation de la formation. Enfin, «  Nadia THUILLIERS » s’engage à effacer à l’issue des exercices toute image qui y aurait été prise par tout moyen vidéo lors de travaux pratiques ou de simulations. </w:t>
      </w:r>
    </w:p>
    <w:p>
      <w:pPr>
        <w:pStyle w:val="Normal"/>
        <w:spacing w:lineRule="auto" w:line="259" w:before="0" w:after="160"/>
        <w:ind w:left="0" w:hanging="0"/>
        <w:jc w:val="both"/>
        <w:rPr>
          <w:rFonts w:ascii="Century Gothic" w:hAnsi="Century Gothic" w:eastAsia="Century Gothic" w:cs="Century Gothic"/>
          <w:position w:val="0"/>
          <w:sz w:val="20"/>
          <w:sz w:val="20"/>
          <w:szCs w:val="20"/>
          <w:vertAlign w:val="baseline"/>
        </w:rPr>
      </w:pPr>
      <w:r>
        <w:rPr>
          <w:rFonts w:eastAsia="Century Gothic" w:cs="Century Gothic" w:ascii="Century Gothic" w:hAnsi="Century Gothic"/>
          <w:position w:val="0"/>
          <w:sz w:val="20"/>
          <w:sz w:val="20"/>
          <w:szCs w:val="20"/>
          <w:vertAlign w:val="baseline"/>
        </w:rPr>
      </w:r>
    </w:p>
    <w:p>
      <w:pPr>
        <w:pStyle w:val="Normal"/>
        <w:spacing w:lineRule="auto" w:line="240"/>
        <w:ind w:left="0" w:hanging="0"/>
        <w:jc w:val="both"/>
        <w:rPr>
          <w:rFonts w:ascii="Century Gothic" w:hAnsi="Century Gothic" w:eastAsia="Century Gothic" w:cs="Century Gothic"/>
          <w:b/>
          <w:b/>
          <w:bCs/>
          <w:position w:val="0"/>
          <w:sz w:val="24"/>
          <w:sz w:val="20"/>
          <w:szCs w:val="20"/>
          <w:vertAlign w:val="baseline"/>
        </w:rPr>
      </w:pPr>
      <w:r>
        <w:rPr>
          <w:rFonts w:eastAsia="Century Gothic" w:cs="Century Gothic" w:ascii="Century Gothic" w:hAnsi="Century Gothic"/>
          <w:b/>
          <w:bCs/>
          <w:position w:val="0"/>
          <w:sz w:val="20"/>
          <w:sz w:val="20"/>
          <w:szCs w:val="20"/>
          <w:vertAlign w:val="baseline"/>
        </w:rPr>
        <w:t>Litiges</w:t>
      </w:r>
    </w:p>
    <w:p>
      <w:pPr>
        <w:pStyle w:val="Normal"/>
        <w:spacing w:lineRule="auto" w:line="240" w:before="20" w:after="20"/>
        <w:ind w:left="0" w:hanging="0"/>
        <w:jc w:val="both"/>
        <w:rPr>
          <w:rFonts w:ascii="Century Gothic" w:hAnsi="Century Gothic" w:eastAsia="Century Gothic" w:cs="Century Gothic"/>
          <w:position w:val="0"/>
          <w:sz w:val="24"/>
          <w:sz w:val="20"/>
          <w:szCs w:val="20"/>
          <w:vertAlign w:val="baseline"/>
        </w:rPr>
      </w:pPr>
      <w:r>
        <w:rPr>
          <w:rFonts w:eastAsia="Century Gothic" w:cs="Century Gothic" w:ascii="Century Gothic" w:hAnsi="Century Gothic"/>
          <w:position w:val="0"/>
          <w:sz w:val="20"/>
          <w:sz w:val="20"/>
          <w:szCs w:val="20"/>
          <w:vertAlign w:val="baseline"/>
        </w:rPr>
        <w:t>Si une contestation ou un différend ne peuvent pas être réglés à l’amiable, le Tribunal de NICE sera seul compétent pour régler le litige.</w:t>
      </w:r>
    </w:p>
    <w:p>
      <w:pPr>
        <w:pStyle w:val="Normal"/>
        <w:ind w:left="0" w:hanging="0"/>
        <w:rPr/>
      </w:pPr>
      <w:r>
        <w:rPr/>
      </w:r>
    </w:p>
    <w:sectPr>
      <w:headerReference w:type="default" r:id="rId4"/>
      <w:footerReference w:type="default" r:id="rId5"/>
      <w:type w:val="nextPage"/>
      <w:pgSz w:w="11906" w:h="16838"/>
      <w:pgMar w:left="1417" w:right="1417" w:header="708" w:top="1417" w:footer="708" w:bottom="1417"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Arial">
    <w:charset w:val="00"/>
    <w:family w:val="roman"/>
    <w:pitch w:val="variable"/>
  </w:font>
  <w:font w:name="Tahoma">
    <w:charset w:val="00"/>
    <w:family w:val="roman"/>
    <w:pitch w:val="variable"/>
  </w:font>
  <w:font w:name="Century Gothic">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mbria Math">
    <w:charset w:val="00"/>
    <w:family w:val="roman"/>
    <w:pitch w:val="variable"/>
    <w:embedRegular r:id="rId18" w:fontKey="{12014A78-CABC-4EF0-12AC-5CD89AEFDE12}"/>
  </w:font>
  <w:font w:name="Noto Sans Symbols">
    <w:charset w:val="01"/>
    <w:family w:val="auto"/>
    <w:pitch w:val="default"/>
    <w:embedRegular r:id="rId19" w:fontKey="{13014A78-CABC-4EF0-12AC-5CD89AEFDE13}"/>
    <w:embedBold r:id="rId20" w:fontKey="{14014A78-CABC-4EF0-12AC-5CD89AEFDE14}"/>
  </w:font>
  <w:font w:name="Courier New">
    <w:charset w:val="01"/>
    <w:family w:val="modern"/>
    <w:pitch w:val="fixed"/>
    <w:embedRegular r:id="rId21" w:fontKey="{15014A78-CABC-4EF0-12AC-5CD89AEFDE15}"/>
    <w:embedBold r:id="rId22" w:fontKey="{16014A78-CABC-4EF0-12AC-5CD89AEFDE16}"/>
    <w:embedItalic r:id="rId23" w:fontKey="{17014A78-CABC-4EF0-12AC-5CD89AEFDE17}"/>
    <w:embedBoldItalic r:id="rId24" w:fontKey="{18014A78-CABC-4EF0-12AC-5CD89AEFDE18}"/>
  </w:font>
  <w:font w:name="Century Gothic">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536" w:leader="none"/>
        <w:tab w:val="right" w:pos="9072" w:leader="none"/>
      </w:tabs>
      <w:ind w:left="0" w:hanging="2"/>
      <w:jc w:val="right"/>
      <w:rPr>
        <w:rFonts w:ascii="Century Gothic" w:hAnsi="Century Gothic" w:eastAsia="Century Gothic" w:cs="Century Gothic"/>
        <w:color w:val="BFBFBF"/>
        <w:sz w:val="16"/>
        <w:szCs w:val="16"/>
      </w:rPr>
    </w:pPr>
    <w:r>
      <w:rPr>
        <w:rFonts w:eastAsia="Century Gothic" w:cs="Century Gothic" w:ascii="Century Gothic" w:hAnsi="Century Gothic"/>
        <w:color w:val="BFBFBF"/>
        <w:sz w:val="16"/>
        <w:szCs w:val="16"/>
      </w:rPr>
      <w:t>Document actualisé le 18/02/2026</w:t>
      <w:br/>
    </w:r>
  </w:p>
  <w:p>
    <w:pPr>
      <w:pStyle w:val="Normal"/>
      <w:tabs>
        <w:tab w:val="center" w:pos="4536" w:leader="none"/>
        <w:tab w:val="right" w:pos="9072" w:leader="none"/>
      </w:tabs>
      <w:ind w:left="0" w:hanging="2"/>
      <w:jc w:val="center"/>
      <w:rPr>
        <w:rFonts w:ascii="Century Gothic" w:hAnsi="Century Gothic" w:eastAsia="Century Gothic" w:cs="Century Gothic"/>
        <w:color w:val="BFBFBF"/>
        <w:sz w:val="16"/>
        <w:szCs w:val="16"/>
      </w:rPr>
    </w:pPr>
    <w:r>
      <w:rPr>
        <w:rFonts w:eastAsia="Century Gothic" w:cs="Century Gothic" w:ascii="Century Gothic" w:hAnsi="Century Gothic"/>
        <w:color w:val="BFBFBF"/>
        <w:sz w:val="17"/>
        <w:szCs w:val="17"/>
      </w:rPr>
      <w:t>Nadia THUILLIERS 24 PARC LUBONIS , 06000 - NICE – Siret : 85180212400020 – Enregistré sous le n°En cours d'enregistrement auprès du préfet de région : Provence Alpes Côte d-azur – Cet enregistrement ne vaut pas agrément de l’État. – Naf : 93.29Z – TVA : FR69851802124 – RCS : NICE 851 802 124 R.C.S. Nice – Capital : € – Tel : 06 22 10 01 72 – Email : lespetitsphilo@lespetitsphilo.comhttps://www.lespetitsphilo.com/</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r>
  </w:p>
  <w:p>
    <w:pPr>
      <w:pStyle w:val="Normal"/>
      <w:tabs>
        <w:tab w:val="center" w:pos="4536" w:leader="none"/>
        <w:tab w:val="right" w:pos="9072" w:leader="none"/>
      </w:tabs>
      <w:ind w:left="0" w:hanging="2"/>
      <w:jc w:val="center"/>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Noto Sans Symbols" w:hAnsi="Noto Sans Symbols" w:cs="Noto Sans Symbols" w:hint="default"/>
        <w:sz w:val="20"/>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Century Gothic" w:hAnsi="Century Gothic" w:cs="Century Gothic" w:hint="default"/>
        <w:sz w:val="20"/>
        <w:rFonts w:cs="Century Gothic"/>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Arial"/>
        <w:szCs w:val="24"/>
        <w:lang w:val="fr-FR" w:eastAsia="zh-CN" w:bidi="hi-IN"/>
      </w:rPr>
    </w:rPrDefault>
    <w:pPrDefault>
      <w:pPr/>
    </w:pPrDefault>
  </w:docDefaults>
  <w:style w:type="paragraph" w:styleId="Normal">
    <w:name w:val="Normal"/>
    <w:qFormat/>
    <w:pPr>
      <w:widowControl w:val="false"/>
      <w:bidi w:val="0"/>
      <w:ind w:hanging="1"/>
      <w:jc w:val="left"/>
    </w:pPr>
    <w:rPr>
      <w:rFonts w:ascii="Calibri" w:hAnsi="Calibri" w:eastAsia="SimSun" w:cs="Arial"/>
      <w:color w:val="00000A"/>
      <w:kern w:val="0"/>
      <w:sz w:val="24"/>
      <w:szCs w:val="24"/>
      <w:lang w:val="fr-FR" w:eastAsia="zh-CN" w:bidi="hi-IN"/>
    </w:rPr>
  </w:style>
  <w:style w:type="paragraph" w:styleId="Titre1">
    <w:name w:val="Heading 1"/>
    <w:next w:val="Normal"/>
    <w:qFormat/>
    <w:pPr>
      <w:widowControl w:val="false"/>
      <w:ind w:left="120" w:right="-20" w:hanging="0"/>
    </w:pPr>
    <w:rPr>
      <w:rFonts w:ascii="Arial" w:hAnsi="Arial" w:eastAsia="Arial" w:cs="Arial"/>
      <w:b/>
      <w:bCs/>
      <w:color w:val="auto"/>
      <w:kern w:val="0"/>
      <w:sz w:val="20"/>
      <w:szCs w:val="20"/>
      <w:lang w:val="fr-FR" w:eastAsia="zh-CN" w:bidi="hi-IN"/>
    </w:rPr>
  </w:style>
  <w:style w:type="paragraph" w:styleId="Titre2">
    <w:name w:val="Heading 2"/>
    <w:next w:val="Normal"/>
    <w:qFormat/>
    <w:pPr>
      <w:keepNext w:val="true"/>
      <w:keepLines/>
      <w:widowControl w:val="false"/>
      <w:spacing w:lineRule="auto" w:line="259" w:before="40" w:after="0"/>
    </w:pPr>
    <w:rPr>
      <w:rFonts w:ascii="Calibri" w:hAnsi="Calibri" w:eastAsia="Calibri" w:cs="Calibri"/>
      <w:color w:val="2E75B5"/>
      <w:kern w:val="0"/>
      <w:sz w:val="26"/>
      <w:szCs w:val="26"/>
      <w:lang w:val="fr-FR" w:eastAsia="zh-CN" w:bidi="hi-IN"/>
    </w:rPr>
  </w:style>
  <w:style w:type="paragraph" w:styleId="Titre3">
    <w:name w:val="Heading 3"/>
    <w:next w:val="Normal"/>
    <w:qFormat/>
    <w:pPr>
      <w:keepNext w:val="true"/>
      <w:keepLines/>
      <w:widowControl w:val="false"/>
      <w:spacing w:lineRule="auto" w:line="259" w:before="280" w:after="80"/>
    </w:pPr>
    <w:rPr>
      <w:rFonts w:ascii="Calibri" w:hAnsi="Calibri" w:eastAsia="Calibri" w:cs="Calibri"/>
      <w:b/>
      <w:bCs/>
      <w:color w:val="auto"/>
      <w:kern w:val="0"/>
      <w:sz w:val="28"/>
      <w:szCs w:val="28"/>
      <w:lang w:val="fr-FR" w:eastAsia="zh-CN" w:bidi="hi-IN"/>
    </w:rPr>
  </w:style>
  <w:style w:type="paragraph" w:styleId="Titre4">
    <w:name w:val="Heading 4"/>
    <w:next w:val="Normal"/>
    <w:qFormat/>
    <w:pPr>
      <w:keepNext w:val="true"/>
      <w:keepLines/>
      <w:widowControl w:val="false"/>
      <w:spacing w:lineRule="auto" w:line="247" w:before="40" w:after="0"/>
      <w:ind w:left="10" w:right="7" w:hanging="10"/>
      <w:jc w:val="both"/>
    </w:pPr>
    <w:rPr>
      <w:rFonts w:ascii="Calibri" w:hAnsi="Calibri" w:eastAsia="SimSun" w:cs="Arial"/>
      <w:i/>
      <w:iCs/>
      <w:color w:val="2E75B5"/>
      <w:kern w:val="0"/>
      <w:sz w:val="20"/>
      <w:szCs w:val="20"/>
      <w:lang w:val="fr-FR" w:eastAsia="zh-CN" w:bidi="hi-IN"/>
    </w:rPr>
  </w:style>
  <w:style w:type="paragraph" w:styleId="Titre5">
    <w:name w:val="Heading 5"/>
    <w:next w:val="Normal"/>
    <w:qFormat/>
    <w:pPr>
      <w:keepNext w:val="true"/>
      <w:keepLines/>
      <w:widowControl w:val="false"/>
      <w:spacing w:lineRule="auto" w:line="240" w:before="220" w:after="40"/>
    </w:pPr>
    <w:rPr>
      <w:rFonts w:ascii="Calibri" w:hAnsi="Calibri" w:eastAsia="SimSun" w:cs="Arial"/>
      <w:b/>
      <w:bCs/>
      <w:color w:val="auto"/>
      <w:kern w:val="0"/>
      <w:sz w:val="24"/>
      <w:szCs w:val="24"/>
      <w:lang w:val="fr-FR" w:eastAsia="zh-CN" w:bidi="hi-IN"/>
    </w:rPr>
  </w:style>
  <w:style w:type="paragraph" w:styleId="Titre6">
    <w:name w:val="Heading 6"/>
    <w:next w:val="Normal"/>
    <w:qFormat/>
    <w:pPr>
      <w:keepNext w:val="true"/>
      <w:keepLines/>
      <w:widowControl w:val="false"/>
      <w:spacing w:lineRule="auto" w:line="240" w:before="200" w:after="40"/>
    </w:pPr>
    <w:rPr>
      <w:rFonts w:ascii="Calibri" w:hAnsi="Calibri" w:eastAsia="SimSun" w:cs="Arial"/>
      <w:b/>
      <w:bCs/>
      <w:color w:val="auto"/>
      <w:kern w:val="0"/>
      <w:sz w:val="20"/>
      <w:szCs w:val="20"/>
      <w:lang w:val="fr-FR" w:eastAsia="zh-CN" w:bidi="hi-IN"/>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qFormat/>
    <w:rPr>
      <w:w w:val="100"/>
      <w:position w:val="0"/>
      <w:sz w:val="24"/>
      <w:sz w:val="24"/>
      <w:effect w:val="none"/>
      <w:vertAlign w:val="baseline"/>
      <w:em w:val="none"/>
    </w:rPr>
  </w:style>
  <w:style w:type="character" w:styleId="PieddepageCar" w:customStyle="1">
    <w:name w:val="Pied de page Car"/>
    <w:basedOn w:val="DefaultParagraphFont"/>
    <w:qFormat/>
    <w:rPr>
      <w:w w:val="100"/>
      <w:position w:val="0"/>
      <w:sz w:val="24"/>
      <w:sz w:val="24"/>
      <w:effect w:val="none"/>
      <w:vertAlign w:val="baseline"/>
      <w:em w:val="none"/>
    </w:rPr>
  </w:style>
  <w:style w:type="character" w:styleId="PlaceholderText">
    <w:name w:val="Placeholder Text"/>
    <w:basedOn w:val="DefaultParagraphFont"/>
    <w:uiPriority w:val="99"/>
    <w:semiHidden/>
    <w:qFormat/>
    <w:rsid w:val="0000529d"/>
    <w:rPr>
      <w:color w:val="808080"/>
    </w:rPr>
  </w:style>
  <w:style w:type="character" w:styleId="LienInternet">
    <w:name w:val="Lien Internet"/>
    <w:basedOn w:val="DefaultParagraphFont"/>
    <w:uiPriority w:val="99"/>
    <w:unhideWhenUsed/>
    <w:rsid w:val="009c5e2e"/>
    <w:rPr>
      <w:color w:val="0000FF" w:themeColor="hyperlink"/>
      <w:u w:val="single"/>
    </w:rPr>
  </w:style>
  <w:style w:type="character" w:styleId="UnresolvedMention">
    <w:name w:val="Unresolved Mention"/>
    <w:basedOn w:val="DefaultParagraphFont"/>
    <w:uiPriority w:val="99"/>
    <w:semiHidden/>
    <w:unhideWhenUsed/>
    <w:qFormat/>
    <w:rsid w:val="009c5e2e"/>
    <w:rPr>
      <w:color w:val="605E5C"/>
      <w:shd w:fill="E1DFDD" w:val="clear"/>
    </w:rPr>
  </w:style>
  <w:style w:type="character" w:styleId="DefaultParagraphFontPHPDOCX">
    <w:name w:val="Default Paragraph Font PHPDOCX"/>
    <w:uiPriority w:val="1"/>
    <w:semiHidden/>
    <w:unhideWhenUsed/>
    <w:qFormat/>
    <w:rPr/>
  </w:style>
  <w:style w:type="character" w:styleId="TitleCarPHPDOCX" w:customStyle="1">
    <w:name w:val="Title Car PHPDOCX"/>
    <w:basedOn w:val="DefaultParagraphFontPHPDOCX"/>
    <w:link w:val="TitlePHPDOCX"/>
    <w:uiPriority w:val="10"/>
    <w:qFormat/>
    <w:rsid w:val="00df064e"/>
    <w:rPr>
      <w:rFonts w:ascii="Calibri" w:hAnsi="Calibri" w:eastAsia="" w:cs="" w:asciiTheme="majorHAnsi" w:cstheme="majorBidi" w:eastAsiaTheme="majorEastAsia" w:hAnsiTheme="majorHAnsi"/>
      <w:color w:val="17365D" w:themeColor="text2" w:themeShade="bf"/>
      <w:spacing w:val="5"/>
      <w:kern w:val="2"/>
      <w:sz w:val="52"/>
      <w:szCs w:val="52"/>
    </w:rPr>
  </w:style>
  <w:style w:type="character" w:styleId="SubtitleCarPHPDOCX" w:customStyle="1">
    <w:name w:val="Subtitle Car PHPDOCX"/>
    <w:basedOn w:val="DefaultParagraphFontPHPDOCX"/>
    <w:link w:val="SubtitlePHPDOCX"/>
    <w:uiPriority w:val="11"/>
    <w:qFormat/>
    <w:rsid w:val="00df064e"/>
    <w:rPr>
      <w:rFonts w:ascii="Calibri" w:hAnsi="Calibri" w:eastAsia="" w:cs="" w:asciiTheme="majorHAnsi" w:cstheme="majorBidi" w:eastAsiaTheme="majorEastAsia" w:hAnsiTheme="majorHAnsi"/>
      <w:i/>
      <w:iCs/>
      <w:color w:val="4F81BD" w:themeColor="accent1"/>
      <w:spacing w:val="15"/>
      <w:sz w:val="24"/>
      <w:szCs w:val="24"/>
    </w:rPr>
  </w:style>
  <w:style w:type="character" w:styleId="AnnotationreferencePHPDOCX">
    <w:name w:val="annotation reference PHPDOCX"/>
    <w:basedOn w:val="DefaultParagraphFontPHPDOCX"/>
    <w:uiPriority w:val="99"/>
    <w:semiHidden/>
    <w:unhideWhenUsed/>
    <w:qFormat/>
    <w:rsid w:val="00e139ea"/>
    <w:rPr>
      <w:sz w:val="16"/>
      <w:szCs w:val="16"/>
    </w:rPr>
  </w:style>
  <w:style w:type="character" w:styleId="CommentTextCharPHPDOCX" w:customStyle="1">
    <w:name w:val="Comment Text Char PHPDOCX"/>
    <w:basedOn w:val="DefaultParagraphFontPHPDOCX"/>
    <w:link w:val="CommentTextPHPDOCX"/>
    <w:uiPriority w:val="99"/>
    <w:semiHidden/>
    <w:qFormat/>
    <w:rsid w:val="00e139ea"/>
    <w:rPr>
      <w:sz w:val="20"/>
      <w:szCs w:val="20"/>
    </w:rPr>
  </w:style>
  <w:style w:type="character" w:styleId="CommentSubjectCharPHPDOCX" w:customStyle="1">
    <w:name w:val="Comment Subject Char PHPDOCX"/>
    <w:basedOn w:val="CommentTextCharPHPDOCX"/>
    <w:link w:val="CommentSubjectPHPDOCX"/>
    <w:uiPriority w:val="99"/>
    <w:semiHidden/>
    <w:qFormat/>
    <w:rsid w:val="00e139ea"/>
    <w:rPr>
      <w:b/>
      <w:bCs/>
      <w:sz w:val="20"/>
      <w:szCs w:val="20"/>
    </w:rPr>
  </w:style>
  <w:style w:type="character" w:styleId="BalloonTextCharPHPDOCX" w:customStyle="1">
    <w:name w:val="Balloon Text Char PHPDOCX"/>
    <w:basedOn w:val="DefaultParagraphFontPHPDOCX"/>
    <w:link w:val="BalloonTextPHPDOCX"/>
    <w:uiPriority w:val="99"/>
    <w:semiHidden/>
    <w:qFormat/>
    <w:rsid w:val="00e139ea"/>
    <w:rPr>
      <w:rFonts w:ascii="Tahoma" w:hAnsi="Tahoma" w:cs="Tahoma"/>
      <w:sz w:val="16"/>
      <w:szCs w:val="16"/>
    </w:rPr>
  </w:style>
  <w:style w:type="character" w:styleId="FootnoteTextCarPHPDOCX" w:customStyle="1">
    <w:name w:val="footnote Text Car PHPDOCX"/>
    <w:basedOn w:val="DefaultParagraphFontPHPDOCX"/>
    <w:link w:val="footnoteTextPHPDOCX"/>
    <w:uiPriority w:val="99"/>
    <w:semiHidden/>
    <w:qFormat/>
    <w:rsid w:val="006e0fda"/>
    <w:rPr>
      <w:sz w:val="20"/>
      <w:szCs w:val="20"/>
    </w:rPr>
  </w:style>
  <w:style w:type="character" w:styleId="FootnoteReferencePHPDOCX">
    <w:name w:val="footnote Reference PHPDOCX"/>
    <w:basedOn w:val="DefaultParagraphFontPHPDOCX"/>
    <w:uiPriority w:val="99"/>
    <w:semiHidden/>
    <w:unhideWhenUsed/>
    <w:qFormat/>
    <w:rsid w:val="006e0fda"/>
    <w:rPr>
      <w:vertAlign w:val="superscript"/>
    </w:rPr>
  </w:style>
  <w:style w:type="character" w:styleId="EndnoteTextCarPHPDOCX" w:customStyle="1">
    <w:name w:val="endnote Text Car PHPDOCX"/>
    <w:basedOn w:val="DefaultParagraphFontPHPDOCX"/>
    <w:link w:val="endnoteTextPHPDOCX"/>
    <w:uiPriority w:val="99"/>
    <w:semiHidden/>
    <w:qFormat/>
    <w:rsid w:val="006e0fda"/>
    <w:rPr>
      <w:sz w:val="20"/>
      <w:szCs w:val="20"/>
    </w:rPr>
  </w:style>
  <w:style w:type="character" w:styleId="EndnoteReferencePHPDOCX">
    <w:name w:val="endnote Reference PHPDOCX"/>
    <w:basedOn w:val="DefaultParagraphFontPHPDOCX"/>
    <w:uiPriority w:val="99"/>
    <w:semiHidden/>
    <w:unhideWhenUsed/>
    <w:qFormat/>
    <w:rsid w:val="006e0fda"/>
    <w:rPr>
      <w:vertAlign w:val="superscript"/>
    </w:rPr>
  </w:style>
  <w:style w:type="character" w:styleId="ListLabel1">
    <w:name w:val="ListLabel 1"/>
    <w:qFormat/>
    <w:rPr>
      <w:rFonts w:ascii="Century Gothic" w:hAnsi="Century Gothic" w:eastAsia="Noto Sans Symbols" w:cs="Noto Sans Symbols"/>
      <w:sz w:val="20"/>
      <w:szCs w:val="20"/>
    </w:rPr>
  </w:style>
  <w:style w:type="character" w:styleId="ListLabel2">
    <w:name w:val="ListLabel 2"/>
    <w:qFormat/>
    <w:rPr>
      <w:rFonts w:eastAsia="Courier New" w:cs="Courier New"/>
      <w:sz w:val="20"/>
      <w:szCs w:val="20"/>
    </w:rPr>
  </w:style>
  <w:style w:type="character" w:styleId="ListLabel3">
    <w:name w:val="ListLabel 3"/>
    <w:qFormat/>
    <w:rPr>
      <w:rFonts w:eastAsia="Noto Sans Symbols" w:cs="Noto Sans Symbols"/>
      <w:sz w:val="20"/>
      <w:szCs w:val="20"/>
    </w:rPr>
  </w:style>
  <w:style w:type="character" w:styleId="ListLabel4">
    <w:name w:val="ListLabel 4"/>
    <w:qFormat/>
    <w:rPr>
      <w:rFonts w:eastAsia="Noto Sans Symbols" w:cs="Noto Sans Symbols"/>
      <w:sz w:val="20"/>
      <w:szCs w:val="20"/>
    </w:rPr>
  </w:style>
  <w:style w:type="character" w:styleId="ListLabel5">
    <w:name w:val="ListLabel 5"/>
    <w:qFormat/>
    <w:rPr>
      <w:rFonts w:eastAsia="Noto Sans Symbols" w:cs="Noto Sans Symbols"/>
      <w:sz w:val="20"/>
      <w:szCs w:val="20"/>
    </w:rPr>
  </w:style>
  <w:style w:type="character" w:styleId="ListLabel6">
    <w:name w:val="ListLabel 6"/>
    <w:qFormat/>
    <w:rPr>
      <w:rFonts w:eastAsia="Noto Sans Symbols" w:cs="Noto Sans Symbols"/>
      <w:sz w:val="20"/>
      <w:szCs w:val="20"/>
    </w:rPr>
  </w:style>
  <w:style w:type="character" w:styleId="ListLabel7">
    <w:name w:val="ListLabel 7"/>
    <w:qFormat/>
    <w:rPr>
      <w:rFonts w:eastAsia="Noto Sans Symbols" w:cs="Noto Sans Symbols"/>
      <w:sz w:val="20"/>
      <w:szCs w:val="20"/>
    </w:rPr>
  </w:style>
  <w:style w:type="character" w:styleId="ListLabel8">
    <w:name w:val="ListLabel 8"/>
    <w:qFormat/>
    <w:rPr>
      <w:rFonts w:eastAsia="Noto Sans Symbols" w:cs="Noto Sans Symbols"/>
      <w:sz w:val="20"/>
      <w:szCs w:val="20"/>
    </w:rPr>
  </w:style>
  <w:style w:type="character" w:styleId="ListLabel9">
    <w:name w:val="ListLabel 9"/>
    <w:qFormat/>
    <w:rPr>
      <w:rFonts w:eastAsia="Noto Sans Symbols" w:cs="Noto Sans Symbols"/>
      <w:sz w:val="20"/>
      <w:szCs w:val="20"/>
    </w:rPr>
  </w:style>
  <w:style w:type="character" w:styleId="ListLabel10">
    <w:name w:val="ListLabel 10"/>
    <w:qFormat/>
    <w:rPr>
      <w:rFonts w:ascii="Century Gothic" w:hAnsi="Century Gothic" w:eastAsia="Century Gothic" w:cs="Century Gothic"/>
      <w:sz w:val="20"/>
    </w:rPr>
  </w:style>
  <w:style w:type="character" w:styleId="ListLabel11">
    <w:name w:val="ListLabel 11"/>
    <w:qFormat/>
    <w:rPr>
      <w:rFonts w:eastAsia="Courier New" w:cs="Courier New"/>
    </w:rPr>
  </w:style>
  <w:style w:type="character" w:styleId="ListLabel12">
    <w:name w:val="ListLabel 12"/>
    <w:qFormat/>
    <w:rPr>
      <w:rFonts w:eastAsia="Noto Sans Symbols" w:cs="Noto Sans Symbols"/>
    </w:rPr>
  </w:style>
  <w:style w:type="character" w:styleId="ListLabel13">
    <w:name w:val="ListLabel 13"/>
    <w:qFormat/>
    <w:rPr>
      <w:rFonts w:eastAsia="Noto Sans Symbols" w:cs="Noto Sans Symbols"/>
    </w:rPr>
  </w:style>
  <w:style w:type="character" w:styleId="ListLabel14">
    <w:name w:val="ListLabel 14"/>
    <w:qFormat/>
    <w:rPr>
      <w:rFonts w:eastAsia="Courier New" w:cs="Courier New"/>
    </w:rPr>
  </w:style>
  <w:style w:type="character" w:styleId="ListLabel15">
    <w:name w:val="ListLabel 15"/>
    <w:qFormat/>
    <w:rPr>
      <w:rFonts w:eastAsia="Noto Sans Symbols" w:cs="Noto Sans Symbols"/>
    </w:rPr>
  </w:style>
  <w:style w:type="character" w:styleId="ListLabel16">
    <w:name w:val="ListLabel 16"/>
    <w:qFormat/>
    <w:rPr>
      <w:rFonts w:eastAsia="Noto Sans Symbols" w:cs="Noto Sans Symbols"/>
    </w:rPr>
  </w:style>
  <w:style w:type="character" w:styleId="ListLabel17">
    <w:name w:val="ListLabel 17"/>
    <w:qFormat/>
    <w:rPr>
      <w:rFonts w:eastAsia="Courier New" w:cs="Courier New"/>
    </w:rPr>
  </w:style>
  <w:style w:type="character" w:styleId="ListLabel18">
    <w:name w:val="ListLabel 18"/>
    <w:qFormat/>
    <w:rPr>
      <w:rFonts w:eastAsia="Noto Sans Symbols" w:cs="Noto Sans Symbols"/>
    </w:rPr>
  </w:style>
  <w:style w:type="character" w:styleId="ListLabel19">
    <w:name w:val="ListLabel 19"/>
    <w:qFormat/>
    <w:rPr>
      <w:rFonts w:ascii="Century Gothic" w:hAnsi="Century Gothic" w:cs="Noto Sans Symbols"/>
      <w:sz w:val="20"/>
      <w:szCs w:val="20"/>
    </w:rPr>
  </w:style>
  <w:style w:type="character" w:styleId="ListLabel20">
    <w:name w:val="ListLabel 20"/>
    <w:qFormat/>
    <w:rPr>
      <w:rFonts w:cs="Courier New"/>
      <w:sz w:val="20"/>
      <w:szCs w:val="20"/>
    </w:rPr>
  </w:style>
  <w:style w:type="character" w:styleId="ListLabel21">
    <w:name w:val="ListLabel 21"/>
    <w:qFormat/>
    <w:rPr>
      <w:rFonts w:cs="Noto Sans Symbols"/>
      <w:sz w:val="20"/>
      <w:szCs w:val="20"/>
    </w:rPr>
  </w:style>
  <w:style w:type="character" w:styleId="ListLabel22">
    <w:name w:val="ListLabel 22"/>
    <w:qFormat/>
    <w:rPr>
      <w:rFonts w:cs="Noto Sans Symbols"/>
      <w:sz w:val="20"/>
      <w:szCs w:val="20"/>
    </w:rPr>
  </w:style>
  <w:style w:type="character" w:styleId="ListLabel23">
    <w:name w:val="ListLabel 23"/>
    <w:qFormat/>
    <w:rPr>
      <w:rFonts w:cs="Noto Sans Symbols"/>
      <w:sz w:val="20"/>
      <w:szCs w:val="20"/>
    </w:rPr>
  </w:style>
  <w:style w:type="character" w:styleId="ListLabel24">
    <w:name w:val="ListLabel 24"/>
    <w:qFormat/>
    <w:rPr>
      <w:rFonts w:cs="Noto Sans Symbols"/>
      <w:sz w:val="20"/>
      <w:szCs w:val="20"/>
    </w:rPr>
  </w:style>
  <w:style w:type="character" w:styleId="ListLabel25">
    <w:name w:val="ListLabel 25"/>
    <w:qFormat/>
    <w:rPr>
      <w:rFonts w:cs="Noto Sans Symbols"/>
      <w:sz w:val="20"/>
      <w:szCs w:val="20"/>
    </w:rPr>
  </w:style>
  <w:style w:type="character" w:styleId="ListLabel26">
    <w:name w:val="ListLabel 26"/>
    <w:qFormat/>
    <w:rPr>
      <w:rFonts w:cs="Noto Sans Symbols"/>
      <w:sz w:val="20"/>
      <w:szCs w:val="20"/>
    </w:rPr>
  </w:style>
  <w:style w:type="character" w:styleId="ListLabel27">
    <w:name w:val="ListLabel 27"/>
    <w:qFormat/>
    <w:rPr>
      <w:rFonts w:cs="Noto Sans Symbols"/>
      <w:sz w:val="20"/>
      <w:szCs w:val="20"/>
    </w:rPr>
  </w:style>
  <w:style w:type="character" w:styleId="ListLabel28">
    <w:name w:val="ListLabel 28"/>
    <w:qFormat/>
    <w:rPr>
      <w:rFonts w:ascii="Century Gothic" w:hAnsi="Century Gothic" w:cs="Century Gothic"/>
      <w:sz w:val="20"/>
    </w:rPr>
  </w:style>
  <w:style w:type="character" w:styleId="ListLabel29">
    <w:name w:val="ListLabel 29"/>
    <w:qFormat/>
    <w:rPr>
      <w:rFonts w:cs="Courier New"/>
    </w:rPr>
  </w:style>
  <w:style w:type="character" w:styleId="ListLabel30">
    <w:name w:val="ListLabel 30"/>
    <w:qFormat/>
    <w:rPr>
      <w:rFonts w:cs="Noto Sans Symbols"/>
    </w:rPr>
  </w:style>
  <w:style w:type="character" w:styleId="ListLabel31">
    <w:name w:val="ListLabel 31"/>
    <w:qFormat/>
    <w:rPr>
      <w:rFonts w:cs="Noto Sans Symbols"/>
    </w:rPr>
  </w:style>
  <w:style w:type="character" w:styleId="ListLabel32">
    <w:name w:val="ListLabel 32"/>
    <w:qFormat/>
    <w:rPr>
      <w:rFonts w:cs="Courier New"/>
    </w:rPr>
  </w:style>
  <w:style w:type="character" w:styleId="ListLabel33">
    <w:name w:val="ListLabel 33"/>
    <w:qFormat/>
    <w:rPr>
      <w:rFonts w:cs="Noto Sans Symbols"/>
    </w:rPr>
  </w:style>
  <w:style w:type="character" w:styleId="ListLabel34">
    <w:name w:val="ListLabel 34"/>
    <w:qFormat/>
    <w:rPr>
      <w:rFonts w:cs="Noto Sans Symbols"/>
    </w:rPr>
  </w:style>
  <w:style w:type="character" w:styleId="ListLabel35">
    <w:name w:val="ListLabel 35"/>
    <w:qFormat/>
    <w:rPr>
      <w:rFonts w:cs="Courier New"/>
    </w:rPr>
  </w:style>
  <w:style w:type="character" w:styleId="ListLabel36">
    <w:name w:val="ListLabel 36"/>
    <w:qFormat/>
    <w:rPr>
      <w:rFonts w:cs="Noto Sans Symbol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Onormal" w:default="1">
    <w:name w:val="LO-normal"/>
    <w:qFormat/>
    <w:pPr>
      <w:widowControl/>
      <w:bidi w:val="0"/>
      <w:jc w:val="left"/>
    </w:pPr>
    <w:rPr>
      <w:rFonts w:ascii="Calibri" w:hAnsi="Calibri" w:eastAsia="SimSun" w:cs="Arial"/>
      <w:color w:val="00000A"/>
      <w:kern w:val="0"/>
      <w:sz w:val="24"/>
      <w:szCs w:val="24"/>
      <w:lang w:val="fr-FR" w:eastAsia="zh-CN" w:bidi="hi-IN"/>
    </w:rPr>
  </w:style>
  <w:style w:type="paragraph" w:styleId="Titreprincipal">
    <w:name w:val="Title"/>
    <w:basedOn w:val="LOnormal"/>
    <w:next w:val="Normal"/>
    <w:qFormat/>
    <w:pPr/>
    <w:rPr>
      <w:rFonts w:ascii="Calibri" w:hAnsi="Calibri" w:eastAsia="Calibri" w:cs="Calibri"/>
      <w:color w:val="000000"/>
      <w:sz w:val="56"/>
      <w:szCs w:val="56"/>
    </w:rPr>
  </w:style>
  <w:style w:type="paragraph" w:styleId="Entte">
    <w:name w:val="Header"/>
    <w:basedOn w:val="LOnormal"/>
    <w:qFormat/>
    <w:pPr/>
    <w:rPr>
      <w:rFonts w:ascii="Calibri" w:hAnsi="Calibri" w:eastAsia="Calibri" w:cs="Calibri"/>
      <w:sz w:val="22"/>
      <w:szCs w:val="22"/>
    </w:rPr>
  </w:style>
  <w:style w:type="paragraph" w:styleId="Pieddepage">
    <w:name w:val="Footer"/>
    <w:basedOn w:val="LOnormal"/>
    <w:qFormat/>
    <w:pPr/>
    <w:rPr>
      <w:rFonts w:ascii="Calibri" w:hAnsi="Calibri" w:eastAsia="Calibri" w:cs="Calibri"/>
      <w:sz w:val="22"/>
      <w:szCs w:val="22"/>
    </w:rPr>
  </w:style>
  <w:style w:type="paragraph" w:styleId="ListParagraph">
    <w:name w:val="List Paragraph"/>
    <w:basedOn w:val="LOnormal"/>
    <w:qFormat/>
    <w:pPr>
      <w:spacing w:before="0" w:after="0"/>
      <w:ind w:left="720" w:hanging="0"/>
      <w:contextualSpacing/>
    </w:pPr>
    <w:rPr/>
  </w:style>
  <w:style w:type="paragraph" w:styleId="NormalWeb">
    <w:name w:val="Normal (Web)"/>
    <w:basedOn w:val="LOnormal"/>
    <w:qFormat/>
    <w:pPr>
      <w:spacing w:beforeAutospacing="1" w:afterAutospacing="1"/>
    </w:pPr>
    <w:rPr/>
  </w:style>
  <w:style w:type="paragraph" w:styleId="ListParagraphPHPDOCX">
    <w:name w:val="List Paragraph PHPDOCX"/>
    <w:basedOn w:val="LOnormal"/>
    <w:uiPriority w:val="34"/>
    <w:qFormat/>
    <w:rsid w:val="00df064e"/>
    <w:pPr>
      <w:spacing w:before="0" w:after="0"/>
      <w:ind w:left="720" w:hanging="0"/>
      <w:contextualSpacing/>
    </w:pPr>
    <w:rPr/>
  </w:style>
  <w:style w:type="paragraph" w:styleId="TitlePHPDOCX">
    <w:name w:val="Title PHPDOCX"/>
    <w:basedOn w:val="LOnormal"/>
    <w:next w:val="Normal"/>
    <w:link w:val="TitleCarPHPDOCX"/>
    <w:uiPriority w:val="10"/>
    <w:qFormat/>
    <w:rsid w:val="00df064e"/>
    <w:pPr>
      <w:pBdr>
        <w:bottom w:val="single" w:sz="8" w:space="4" w:color="4F81BD"/>
      </w:pBdr>
      <w:spacing w:lineRule="auto" w:line="240" w:before="0" w:after="300"/>
      <w:contextualSpacing/>
    </w:pPr>
    <w:rPr>
      <w:rFonts w:ascii="Calibri" w:hAnsi="Calibri" w:eastAsia="" w:cs="" w:asciiTheme="majorHAnsi" w:cstheme="majorBidi" w:eastAsiaTheme="majorEastAsia" w:hAnsiTheme="majorHAnsi"/>
      <w:color w:val="17365D" w:themeColor="text2" w:themeShade="bf"/>
      <w:spacing w:val="5"/>
      <w:kern w:val="2"/>
      <w:sz w:val="52"/>
      <w:szCs w:val="52"/>
    </w:rPr>
  </w:style>
  <w:style w:type="paragraph" w:styleId="SubtitlePHPDOCX">
    <w:name w:val="Subtitle PHPDOCX"/>
    <w:basedOn w:val="LOnormal"/>
    <w:next w:val="Normal"/>
    <w:link w:val="SubtitleCarPHPDOCX"/>
    <w:uiPriority w:val="11"/>
    <w:qFormat/>
    <w:rsid w:val="00df064e"/>
    <w:pPr/>
    <w:rPr>
      <w:rFonts w:ascii="Calibri" w:hAnsi="Calibri" w:eastAsia="" w:cs="" w:asciiTheme="majorHAnsi" w:cstheme="majorBidi" w:eastAsiaTheme="majorEastAsia" w:hAnsiTheme="majorHAnsi"/>
      <w:i/>
      <w:iCs/>
      <w:color w:val="4F81BD" w:themeColor="accent1"/>
      <w:spacing w:val="15"/>
      <w:sz w:val="24"/>
      <w:szCs w:val="24"/>
    </w:rPr>
  </w:style>
  <w:style w:type="paragraph" w:styleId="AnnotationtextPHPDOCX">
    <w:name w:val="annotation text PHPDOCX"/>
    <w:basedOn w:val="LOnormal"/>
    <w:link w:val="CommentTextCharPHPDOCX"/>
    <w:uiPriority w:val="99"/>
    <w:semiHidden/>
    <w:unhideWhenUsed/>
    <w:qFormat/>
    <w:rsid w:val="00e139ea"/>
    <w:pPr>
      <w:spacing w:lineRule="auto" w:line="240"/>
    </w:pPr>
    <w:rPr>
      <w:sz w:val="20"/>
      <w:szCs w:val="20"/>
    </w:rPr>
  </w:style>
  <w:style w:type="paragraph" w:styleId="AnnotationsubjectPHPDOCX">
    <w:name w:val="annotation subject PHPDOCX"/>
    <w:basedOn w:val="AnnotationtextPHPDOCX"/>
    <w:link w:val="CommentSubjectCharPHPDOCX"/>
    <w:uiPriority w:val="99"/>
    <w:semiHidden/>
    <w:unhideWhenUsed/>
    <w:qFormat/>
    <w:rsid w:val="00e139ea"/>
    <w:pPr/>
    <w:rPr>
      <w:b/>
      <w:bCs/>
    </w:rPr>
  </w:style>
  <w:style w:type="paragraph" w:styleId="BalloonTextPHPDOCX">
    <w:name w:val="Balloon Text PHPDOCX"/>
    <w:basedOn w:val="LOnormal"/>
    <w:link w:val="BalloonTextCharPHPDOCX"/>
    <w:uiPriority w:val="99"/>
    <w:semiHidden/>
    <w:unhideWhenUsed/>
    <w:qFormat/>
    <w:rsid w:val="00e139ea"/>
    <w:pPr>
      <w:spacing w:lineRule="auto" w:line="240" w:before="0" w:after="0"/>
    </w:pPr>
    <w:rPr>
      <w:rFonts w:ascii="Tahoma" w:hAnsi="Tahoma" w:cs="Tahoma"/>
      <w:sz w:val="16"/>
      <w:szCs w:val="16"/>
    </w:rPr>
  </w:style>
  <w:style w:type="paragraph" w:styleId="FootnoteTextPHPDOCX">
    <w:name w:val="footnote Text PHPDOCX"/>
    <w:basedOn w:val="LOnormal"/>
    <w:link w:val="footnoteTextCarPHPDOCX"/>
    <w:uiPriority w:val="99"/>
    <w:semiHidden/>
    <w:unhideWhenUsed/>
    <w:qFormat/>
    <w:rsid w:val="006e0fda"/>
    <w:pPr>
      <w:spacing w:lineRule="auto" w:line="240" w:before="0" w:after="0"/>
    </w:pPr>
    <w:rPr>
      <w:sz w:val="20"/>
      <w:szCs w:val="20"/>
    </w:rPr>
  </w:style>
  <w:style w:type="paragraph" w:styleId="EndnoteTextPHPDOCX">
    <w:name w:val="endnote Text PHPDOCX"/>
    <w:basedOn w:val="LOnormal"/>
    <w:link w:val="endnoteTextCarPHPDOCX"/>
    <w:uiPriority w:val="99"/>
    <w:semiHidden/>
    <w:unhideWhenUsed/>
    <w:qFormat/>
    <w:rsid w:val="006e0fda"/>
    <w:pPr>
      <w:spacing w:lineRule="auto" w:line="240" w:before="0" w:after="0"/>
    </w:pPr>
    <w:rPr>
      <w:sz w:val="20"/>
      <w:szCs w:val="20"/>
    </w:rPr>
  </w:style>
  <w:style w:type="paragraph" w:styleId="Soustitre">
    <w:name w:val="Subtitle"/>
    <w:basedOn w:val="LOnormal"/>
    <w:next w:val="Normal"/>
    <w:qFormat/>
    <w:pPr>
      <w:keepNext w:val="true"/>
      <w:keepLines/>
      <w:spacing w:lineRule="auto" w:line="240"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pPr>
      <w:spacing w:after="160" w:line="259" w:lineRule="auto"/>
    </w:pPr>
    <w:rPr>
      <w:sz w:val="22"/>
      <w:szCs w:val="22"/>
    </w:rPr>
    <w:tblPr>
      <w:tblCellMar>
        <w:top w:w="0" w:type="dxa"/>
        <w:left w:w="0" w:type="dxa"/>
        <w:bottom w:w="0" w:type="dxa"/>
        <w:right w:w="0" w:type="dxa"/>
      </w:tblCellMar>
    </w:tblPr>
  </w:style>
  <w:style w:type="table" w:customStyle="1" w:styleId="TableNormal1">
    <w:name w:val="Table Normal"/>
    <w:pPr>
      <w:spacing w:after="160" w:line="259" w:lineRule="auto"/>
    </w:pPr>
    <w:rPr>
      <w:sz w:val="22"/>
      <w:szCs w:val="22"/>
    </w:rPr>
    <w:tblPr>
      <w:tblCellMar>
        <w:top w:w="0" w:type="dxa"/>
        <w:left w:w="0" w:type="dxa"/>
        <w:bottom w:w="0" w:type="dxa"/>
        <w:right w:w="0" w:type="dxa"/>
      </w:tblCellMar>
    </w:tbl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t4+7oJKj0cIYv1thHZwa43m5uzg==">CgMxLjAyCGguZ2pkZ3hzMgloLjMwajB6bGwyCWguMWZvYjl0ZTIJaC4zem55c2g3MghoLnR5amN3dDIJaC4zZHk2dmttMgloLjF0M2g1c2YyCWguNGQzNG9nODgAciExZURnT0VlQ1REYzlxc21xWFFITXBUZ0loMGV3WHJ2RW4=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LibreOffice/5.4.6.2$Windows_X86_64 LibreOffice_project/4014ce260a04f1026ba855d3b8d91541c224eab8</Application>
  <Pages>11</Pages>
  <Words>2305</Words>
  <Characters>12792</Characters>
  <CharactersWithSpaces>15079</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2023-04-17T16:57:00Z</dcterms:created>
  <dc:creator>Pascale Martel-Fils</dc:creator>
  <dc:description/>
  <dc:language>fr-FR</dc:language>
  <cp:lastModifiedBy/>
  <dcterms:modified xsi:type="dcterms:W3CDTF">2026-04-02T12:15:54Z</dcterms:modified>
  <cp:revision>3</cp:revision>
  <dc:subject/>
  <dc:title/>
</cp:coreProperties>
</file>