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a6fa5" w:color="auto" w:val="clear"/>
            <w:tcMar>
              <w:top w:type="dxa" w:w="170"/>
              <w:left w:type="dxa" w:w="340"/>
              <w:bottom w:type="dxa" w:w="170"/>
              <w:right w:type="dxa" w:w="3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aps/>
                <w:color w:val="fff8ff"/>
                <w:sz w:val="24"/>
                <w:szCs w:val="24"/>
              </w:rPr>
              <w:t xml:space="preserve">CAPABILITY STATEMENT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Korbalagae Kuawogai, MA</w:t>
            </w:r>
          </w:p>
          <w:p>
            <w:pPr>
              <w:spacing w:after="110"/>
            </w:pPr>
            <w:r>
              <w:rPr>
                <w:rFonts w:ascii="Calibri" w:cs="Calibri" w:eastAsia="Calibri" w:hAnsi="Calibri"/>
                <w:i/>
                <w:iCs/>
                <w:color w:val="fff8ff"/>
                <w:sz w:val="24"/>
                <w:szCs w:val="24"/>
              </w:rPr>
              <w:t xml:space="preserve">Early Ed Essentials  |  Early Childhood Systems &amp; Advisory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fff8ff"/>
                <w:sz w:val="19"/>
                <w:szCs w:val="19"/>
              </w:rPr>
              <w:t xml:space="preserve">hello@earlyedessentials.com   •   240 853-2257   •   earlyedessentials.com   •   linkedin.com/in/korbalagaekuawogai</w:t>
            </w:r>
          </w:p>
        </w:tc>
      </w:tr>
    </w:tbl>
    <w:p>
      <w:pPr>
        <w:spacing w:after="140" w:before="140" w:line="265"/>
        <w:jc w:val="left"/>
      </w:pPr>
      <w:r>
        <w:rPr>
          <w:rFonts w:ascii="Calibri" w:cs="Calibri" w:eastAsia="Calibri" w:hAnsi="Calibri"/>
          <w:i/>
          <w:iCs/>
          <w:color w:val="4a6fa5"/>
          <w:sz w:val="23"/>
          <w:szCs w:val="23"/>
        </w:rPr>
        <w:t xml:space="preserve">Education Advisor &amp; Systems Expert — 20+ years leading early childhood education programs, quality-rating systems, and workforce training across U.S. state government and international development contexts.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single" w:color="D9D2D9" w:sz="6"/>
            </w:tcBorders>
            <w:tcMar>
              <w:top w:type="dxa" w:w="180"/>
              <w:left w:type="dxa" w:w="220"/>
              <w:bottom w:type="dxa" w:w="180"/>
              <w:right w:type="dxa" w:w="280"/>
            </w:tcMar>
          </w:tcPr>
          <w:p>
            <w:pPr>
              <w:pBdr>
                <w:bottom w:val="single" w:color="4a6fa5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4a6fa5"/>
                <w:sz w:val="21"/>
                <w:szCs w:val="21"/>
              </w:rPr>
              <w:t xml:space="preserve">CORE COMPETENCIES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QRIS / Quality-Rating Advancement — provider-level coaching and work-plan design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Regulatory &amp; Systems Mapping — licensing, QRIS, and specialist-tool duplication audits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Grant &amp; Curriculum Review — rubric-based evaluation and process design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National / International Framework Design — ECD policy and assessment systems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Operations &amp; Process Improvement — workflow audits, low-cost tool deployment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color w:val="2c2c2c"/>
                <w:sz w:val="18"/>
                <w:szCs w:val="18"/>
              </w:rPr>
              <w:t xml:space="preserve">Certified Classroom Observation — CLASS</w:t>
            </w:r>
            <w:r>
              <w:rPr>
                <w:color w:val="2c2c2c"/>
                <w:sz w:val="12"/>
                <w:szCs w:val="12"/>
              </w:rPr>
              <w:t xml:space="preserve">™</w:t>
            </w:r>
            <w:r>
              <w:rPr>
                <w:color w:val="2c2c2c"/>
                <w:sz w:val="18"/>
                <w:szCs w:val="18"/>
              </w:rPr>
              <w:t xml:space="preserve"> Infant/Toddler &amp; PreK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Training &amp; Instructional Design — live and hybrid curriculum, Professional Development facilitation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Interagency Workgroup Facilitation</w:t>
            </w:r>
          </w:p>
          <w:p>
            <w:pPr>
              <w:pBdr>
                <w:bottom w:val="single" w:color="4a6fa5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4a6fa5"/>
                <w:sz w:val="21"/>
                <w:szCs w:val="21"/>
              </w:rPr>
              <w:t xml:space="preserve">DIFFERENTIATORS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Distinctive dual credential: built a national ECD framework abroad (UAE) and led a state-system duplication analysis now in active use by outside restructuring consultants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Direct, current experience inside a state QRIS office, grounding every recommendation in firsthand operational practice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Track record of self-initiated process redesign adopted into standing practice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Bridges international development, government, and higher-education instructional design</w:t>
            </w:r>
          </w:p>
          <w:p>
            <w:pPr>
              <w:pBdr>
                <w:bottom w:val="single" w:color="4a6fa5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4a6fa5"/>
                <w:sz w:val="21"/>
                <w:szCs w:val="21"/>
              </w:rPr>
              <w:t xml:space="preserve">NAICS CODES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/>
                <w:bCs/>
                <w:color w:val="2c2c2c"/>
                <w:sz w:val="19"/>
                <w:szCs w:val="19"/>
              </w:rPr>
              <w:t xml:space="preserve">541611 — Administrative Management and General Management Consulting Services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/>
                <w:bCs/>
                <w:color w:val="2c2c2c"/>
                <w:sz w:val="19"/>
                <w:szCs w:val="19"/>
              </w:rPr>
              <w:t xml:space="preserve">611430 — Professional and Management Development Training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/>
                <w:bCs/>
                <w:color w:val="2c2c2c"/>
                <w:sz w:val="19"/>
                <w:szCs w:val="19"/>
              </w:rPr>
              <w:t xml:space="preserve">611710 — Educational Support Services</w:t>
            </w:r>
          </w:p>
          <w:p>
            <w:pPr>
              <w:pBdr>
                <w:bottom w:val="single" w:color="4a6fa5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4a6fa5"/>
                <w:sz w:val="21"/>
                <w:szCs w:val="21"/>
              </w:rPr>
              <w:t xml:space="preserve">STRUCTURE &amp; AFFILIATION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Independent consultant, available for direct engagement, subcontract, or teaming arrangements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Affiliation: National Association for the Education of Young Children (NAEYC)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280"/>
              <w:bottom w:type="dxa" w:w="180"/>
              <w:right w:type="dxa" w:w="220"/>
            </w:tcMar>
          </w:tcPr>
          <w:p>
            <w:pPr>
              <w:pBdr>
                <w:bottom w:val="single" w:color="3a8d8c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3a8d8c"/>
                <w:sz w:val="21"/>
                <w:szCs w:val="21"/>
              </w:rPr>
              <w:t xml:space="preserve">PAST PERFORMANCE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State Department of Education — Mapped regulatory overlap across licensing, quality-rating, and specialist tools; analysis now supporting an outside-led statewide office redesign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State Department of Education — Identified and deployed an automated scheduling solution for a five-person team, saving an estimated 945 hours of manual coordination annually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State Department of Education — Conducted rubric-based review of PreK, DEC, and Head Start grant applications, delivering detailed, evidence-based feedback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State Department of Education — Independently designed the department's curriculum review process and evaluation rubric, an initiative that led to an invitation to join the official curriculum review team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World Bank / Liberia Ministry of Education — Designed a national school readiness assessment system; briefed the Assistant Minister and Inter-Sectoral ECD Policy Committee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UAE Ministry of Education — Led development of the National ECEC Framework, adopted as a sector standard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Prince George's Community College — Instructional designer and faculty for her course section; built the syllabus, course map, and materials from source content only, then redesigned for hybrid delivery to meet adult learners' needs</w:t>
            </w:r>
          </w:p>
          <w:p>
            <w:pPr>
              <w:pBdr>
                <w:bottom w:val="single" w:color="3a8d8c" w:sz="6" w:space="4"/>
              </w:pBdr>
              <w:spacing w:after="50" w:before="110" w:line="225"/>
            </w:pPr>
            <w:r>
              <w:rPr>
                <w:rFonts w:ascii="Calibri" w:cs="Calibri" w:eastAsia="Calibri" w:hAnsi="Calibri"/>
                <w:b/>
                <w:bCs/>
                <w:color w:val="3a8d8c"/>
                <w:sz w:val="21"/>
                <w:szCs w:val="21"/>
              </w:rPr>
              <w:t xml:space="preserve">CERTIFICATIONS &amp; EDUCATION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color w:val="2c2c2c"/>
                <w:sz w:val="18"/>
                <w:szCs w:val="18"/>
              </w:rPr>
              <w:t xml:space="preserve">Certified CLASS</w:t>
            </w:r>
            <w:r>
              <w:rPr>
                <w:color w:val="2c2c2c"/>
                <w:sz w:val="12"/>
                <w:szCs w:val="12"/>
              </w:rPr>
              <w:t xml:space="preserve">™</w:t>
            </w:r>
            <w:r>
              <w:rPr>
                <w:color w:val="2c2c2c"/>
                <w:sz w:val="18"/>
                <w:szCs w:val="18"/>
              </w:rPr>
              <w:t xml:space="preserve"> Observer — Infant/Toddler &amp; PreK (Teachstone)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M.A., Teaching — Early Childhood Education, Trinity Washington University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B.A., Human Development &amp; Psychology — University of Kansas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Certificate, The Science of Early Learning — Harvard University</w:t>
            </w:r>
          </w:p>
          <w:p>
            <w:pPr>
              <w:spacing w:after="58" w:line="234"/>
              <w:ind w:left="220" w:hanging="220"/>
            </w:pPr>
            <w:r>
              <w:rPr>
                <w:b/>
                <w:bCs/>
                <w:color w:val="3a8d8c"/>
                <w:sz w:val="19"/>
                <w:szCs w:val="19"/>
              </w:rPr>
              <w:t xml:space="preserve">•  </w:t>
            </w:r>
            <w:r>
              <w:rPr>
                <w:b w:val="false"/>
                <w:bCs w:val="false"/>
                <w:color w:val="2c2c2c"/>
                <w:sz w:val="19"/>
                <w:szCs w:val="19"/>
              </w:rPr>
              <w:t xml:space="preserve">Certificate, Leading Adults for Quality Improvement — Harvard University</w:t>
            </w:r>
          </w:p>
          <w:p>
            <w:pPr>
              <w:pBdr>
                <w:top w:val="single" w:color="3a8d8c" w:sz="6" w:space="10"/>
              </w:pBdr>
              <w:spacing w:before="260"/>
            </w:pPr>
            <w:r>
              <w:rPr>
                <w:rFonts w:ascii="Calibri" w:cs="Calibri" w:eastAsia="Calibri" w:hAnsi="Calibri"/>
                <w:i/>
                <w:iCs/>
                <w:color w:val="4a6fa5"/>
                <w:sz w:val="20"/>
                <w:szCs w:val="20"/>
              </w:rPr>
              <w:t xml:space="preserve">“Partnering with agencies and organizations to provide high-quality early childhood programming.”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8d8c" w:color="auto" w:val="clear"/>
            <w:tcMar>
              <w:top w:type="dxa" w:w="90"/>
              <w:left w:type="dxa" w:w="320"/>
              <w:bottom w:type="dxa" w:w="90"/>
              <w:right w:type="dxa" w:w="3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hello@earlyedessentials.com   •   240 853-2257   •   earlyedessentials.com   •   linkedin.com/in/korbalagaekuawogai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2026-09-18T12:15:42.616Z</dcterms:created>
  <dcterms:modified xsi:type="dcterms:W3CDTF">2026-09-18T12:15:42.624Z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