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0" w:before="157.5" w:after="157.5" w:lineRule="auto"/>
        <w:jc w:val="left"/>
      </w:pPr>
      <w:bookmarkStart w:id="0" w:name="what_to_do_when_bankruptcy_isn_t_77ebb9"/>
      <w:r>
        <w:rPr>
          <w:rFonts w:eastAsia="source serif 4" w:cs="source serif 4" w:ascii="source serif 4" w:hAnsi="source serif 4"/>
          <w:b/>
          <w:color w:val="000000"/>
          <w:sz w:val="39"/>
        </w:rPr>
        <w:t xml:space="preserve">What to Do When Bankruptcy Isn’t Available</w:t>
      </w:r>
      <w:bookmarkEnd w:id="0"/>
    </w:p>
    <w:p>
      <w:pPr>
        <w:spacing w:line="360" w:after="210" w:lineRule="auto"/>
      </w:pPr>
      <w:r>
        <w:rPr>
          <w:rFonts w:eastAsia="source serif 4" w:cs="source serif 4" w:ascii="source serif 4" w:hAnsi="source serif 4"/>
          <w:i/>
          <w:color w:val="000000"/>
        </w:rPr>
        <w:t xml:space="preserve">A First-Step Checklist for Protecting Income, Assets, and Peace of Mind</w:t>
      </w:r>
    </w:p>
    <w:p>
      <w:pPr>
        <w:spacing w:line="360" w:after="210" w:lineRule="auto"/>
        <w:ind w:left="630"/>
      </w:pPr>
      <w:r>
        <w:rPr>
          <w:rFonts w:eastAsia="source serif 4" w:cs="source serif 4" w:ascii="source serif 4" w:hAnsi="source serif 4"/>
          <w:color w:val="000000"/>
        </w:rPr>
        <w:t xml:space="preserve">Educational information only. This report is not legal advice, does not create an attorney-client relationship, and should not be treated as a substitute for advice from a lawyer licensed in the reader’s state. Debt collection and exemption laws vary by state, and deadlines can matter.</w:t>
      </w:r>
    </w:p>
    <w:p>
      <w:pPr>
        <w:spacing w:line="360" w:before="315" w:after="105" w:lineRule="auto"/>
        <w:ind w:left="-30"/>
        <w:jc w:val="left"/>
      </w:pPr>
      <w:bookmarkStart w:id="1" w:name="bm_1_the_situation"/>
      <w:r>
        <w:rPr>
          <w:rFonts w:eastAsia="source serif 4" w:cs="source serif 4" w:ascii="source serif 4" w:hAnsi="source serif 4"/>
          <w:b/>
          <w:color w:val="000000"/>
          <w:sz w:val="24"/>
        </w:rPr>
        <w:t xml:space="preserve">1. The situation</w:t>
      </w:r>
      <w:bookmarkEnd w:id="1"/>
    </w:p>
    <w:p>
      <w:pPr>
        <w:spacing w:line="360" w:after="210" w:lineRule="auto"/>
      </w:pPr>
      <w:r>
        <w:rPr>
          <w:rFonts w:eastAsia="source serif 4" w:cs="source serif 4" w:ascii="source serif 4" w:hAnsi="source serif 4"/>
          <w:color w:val="000000"/>
        </w:rPr>
        <w:t xml:space="preserve">If bankruptcy is not available right now, that does </w:t>
      </w:r>
      <w:r>
        <w:rPr>
          <w:rFonts w:eastAsia="source serif 4" w:cs="source serif 4" w:ascii="source serif 4" w:hAnsi="source serif 4"/>
          <w:b/>
          <w:color w:val="000000"/>
        </w:rPr>
        <w:t xml:space="preserve">not</w:t>
      </w:r>
      <w:r>
        <w:rPr>
          <w:rFonts w:eastAsia="source serif 4" w:cs="source serif 4" w:ascii="source serif 4" w:hAnsi="source serif 4"/>
          <w:color w:val="000000"/>
        </w:rPr>
        <w:t xml:space="preserve"> automatically mean there is nothing that can be done. Some people cannot file Chapter 7 yet because of prior filing limits, while others may qualify for Chapter 13 in theory but cannot realistically afford the payments. In those situations, the immediate goal shifts from “erase the debt” to “protect the essentials and reduce the damage” [cite:46][cite:59].</w:t>
      </w:r>
    </w:p>
    <w:p>
      <w:pPr>
        <w:spacing w:line="360" w:after="210" w:lineRule="auto"/>
      </w:pPr>
      <w:r>
        <w:rPr>
          <w:rFonts w:eastAsia="source serif 4" w:cs="source serif 4" w:ascii="source serif 4" w:hAnsi="source serif 4"/>
          <w:color w:val="000000"/>
        </w:rPr>
        <w:t xml:space="preserve">That means focusing on the parts of life that matter most first: income, bank access, housing, transportation, and basic household stability. Even when a creditor has strong collection rights, the law may still protect certain wages, benefits, property, or equity through exemptions and procedural defenses [cite:46][cite:97].</w:t>
      </w:r>
    </w:p>
    <w:p>
      <w:pPr>
        <w:spacing w:line="360" w:after="210" w:lineRule="auto"/>
      </w:pPr>
      <w:r>
        <w:rPr>
          <w:rFonts w:eastAsia="source serif 4" w:cs="source serif 4" w:ascii="source serif 4" w:hAnsi="source serif 4"/>
          <w:color w:val="000000"/>
        </w:rPr>
        <w:t xml:space="preserve">Many people make the mistake of assuming that if they cannot file bankruptcy, they are defenseless. That is often not true. Federal law limits what many debt collectors can say and do, and state law may protect some of a person’s wages, bank funds, home equity, and personal property from collection [cite:97][cite:104][cite:46].</w:t>
      </w:r>
    </w:p>
    <w:p>
      <w:pPr>
        <w:spacing w:line="360" w:after="210" w:lineRule="auto"/>
      </w:pPr>
      <w:r>
        <w:rPr>
          <w:rFonts w:eastAsia="source serif 4" w:cs="source serif 4" w:ascii="source serif 4" w:hAnsi="source serif 4"/>
          <w:color w:val="000000"/>
        </w:rPr>
        <w:t xml:space="preserve">The key is to act early. A debt problem is usually easier to manage before it turns into a default judgment, wage garnishment, bank restraint, repossession, or lien.</w:t>
      </w:r>
    </w:p>
    <w:p>
      <w:pPr>
        <w:spacing w:line="360" w:before="315" w:after="105" w:lineRule="auto"/>
        <w:ind w:left="-30"/>
        <w:jc w:val="left"/>
      </w:pPr>
      <w:bookmarkStart w:id="2" w:name="bm_2_the_first_question_to_ask"/>
      <w:r>
        <w:rPr>
          <w:rFonts w:eastAsia="source serif 4" w:cs="source serif 4" w:ascii="source serif 4" w:hAnsi="source serif 4"/>
          <w:b/>
          <w:color w:val="000000"/>
          <w:sz w:val="24"/>
        </w:rPr>
        <w:t xml:space="preserve">2. The first question to ask</w:t>
      </w:r>
      <w:bookmarkEnd w:id="2"/>
    </w:p>
    <w:p>
      <w:pPr>
        <w:spacing w:line="360" w:after="210" w:lineRule="auto"/>
      </w:pPr>
      <w:r>
        <w:rPr>
          <w:rFonts w:eastAsia="source serif 4" w:cs="source serif 4" w:ascii="source serif 4" w:hAnsi="source serif 4"/>
          <w:color w:val="000000"/>
        </w:rPr>
        <w:t xml:space="preserve">When panic hits, the best first move is not to call every creditor or make random payment promises. The best first move is to identify </w:t>
      </w:r>
      <w:r>
        <w:rPr>
          <w:rFonts w:eastAsia="source serif 4" w:cs="source serif 4" w:ascii="source serif 4" w:hAnsi="source serif 4"/>
          <w:b/>
          <w:color w:val="000000"/>
        </w:rPr>
        <w:t xml:space="preserve">what kind of threat this actually is</w:t>
      </w:r>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color w:val="000000"/>
        </w:rPr>
        <w:t xml:space="preserve">Start with these questions:</w:t>
      </w:r>
    </w:p>
    <w:p>
      <w:pPr>
        <w:numPr>
          <w:ilvl w:val="0"/>
          <w:numId w:val="1"/>
        </w:numPr>
        <w:spacing w:line="360" w:before="105" w:after="105" w:lineRule="auto"/>
      </w:pPr>
      <w:r>
        <w:rPr>
          <w:rFonts w:eastAsia="source serif 4" w:cs="source serif 4" w:ascii="source serif 4" w:hAnsi="source serif 4"/>
          <w:color w:val="000000"/>
          <w:sz w:val="21"/>
        </w:rPr>
        <w:t xml:space="preserve">Is the debt unsecured, like a credit card, personal loan, or medical bill?</w:t>
      </w:r>
    </w:p>
    <w:p>
      <w:pPr>
        <w:numPr>
          <w:ilvl w:val="0"/>
          <w:numId w:val="1"/>
        </w:numPr>
        <w:spacing w:line="360" w:before="105" w:after="105" w:lineRule="auto"/>
      </w:pPr>
      <w:r>
        <w:rPr>
          <w:rFonts w:eastAsia="source serif 4" w:cs="source serif 4" w:ascii="source serif 4" w:hAnsi="source serif 4"/>
          <w:color w:val="000000"/>
          <w:sz w:val="21"/>
        </w:rPr>
        <w:t xml:space="preserve">Is the debt secured, like a car loan or mortgage?</w:t>
      </w:r>
    </w:p>
    <w:p>
      <w:pPr>
        <w:numPr>
          <w:ilvl w:val="0"/>
          <w:numId w:val="1"/>
        </w:numPr>
        <w:spacing w:line="360" w:before="105" w:after="105" w:lineRule="auto"/>
      </w:pPr>
      <w:r>
        <w:rPr>
          <w:rFonts w:eastAsia="source serif 4" w:cs="source serif 4" w:ascii="source serif 4" w:hAnsi="source serif 4"/>
          <w:color w:val="000000"/>
          <w:sz w:val="21"/>
        </w:rPr>
        <w:t xml:space="preserve">Has a lawsuit already been filed?</w:t>
      </w:r>
    </w:p>
    <w:p>
      <w:pPr>
        <w:numPr>
          <w:ilvl w:val="0"/>
          <w:numId w:val="1"/>
        </w:numPr>
        <w:spacing w:line="360" w:before="105" w:after="105" w:lineRule="auto"/>
      </w:pPr>
      <w:r>
        <w:rPr>
          <w:rFonts w:eastAsia="source serif 4" w:cs="source serif 4" w:ascii="source serif 4" w:hAnsi="source serif 4"/>
          <w:color w:val="000000"/>
          <w:sz w:val="21"/>
        </w:rPr>
        <w:t xml:space="preserve">Has a judgment already been entered?</w:t>
      </w:r>
    </w:p>
    <w:p>
      <w:pPr>
        <w:numPr>
          <w:ilvl w:val="0"/>
          <w:numId w:val="1"/>
        </w:numPr>
        <w:spacing w:line="360" w:before="105" w:after="105" w:lineRule="auto"/>
      </w:pPr>
      <w:r>
        <w:rPr>
          <w:rFonts w:eastAsia="source serif 4" w:cs="source serif 4" w:ascii="source serif 4" w:hAnsi="source serif 4"/>
          <w:color w:val="000000"/>
          <w:sz w:val="21"/>
        </w:rPr>
        <w:t xml:space="preserve">Is anyone trying to garnish wages or freeze a bank account?</w:t>
      </w:r>
    </w:p>
    <w:p>
      <w:pPr>
        <w:numPr>
          <w:ilvl w:val="0"/>
          <w:numId w:val="1"/>
        </w:numPr>
        <w:spacing w:line="360" w:before="105" w:after="105" w:lineRule="auto"/>
      </w:pPr>
      <w:r>
        <w:rPr>
          <w:rFonts w:eastAsia="source serif 4" w:cs="source serif 4" w:ascii="source serif 4" w:hAnsi="source serif 4"/>
          <w:color w:val="000000"/>
          <w:sz w:val="21"/>
        </w:rPr>
        <w:t xml:space="preserve">Is the income coming from wages, benefits, self-employment, retirement, or something else?</w:t>
      </w:r>
    </w:p>
    <w:p>
      <w:pPr>
        <w:spacing w:line="360" w:after="210" w:lineRule="auto"/>
      </w:pPr>
      <w:r>
        <w:rPr>
          <w:rFonts w:eastAsia="source serif 4" w:cs="source serif 4" w:ascii="source serif 4" w:hAnsi="source serif 4"/>
          <w:color w:val="000000"/>
        </w:rPr>
        <w:t xml:space="preserve">Those questions matter because the strategy changes depending on the debt type and the collection stage. For example, a credit-card company usually needs to sue and get a judgment before it can garnish wages in Alabama, while some government debts can follow different rules [cite:59]. A car lender with a lien on a vehicle may have repossession rights that do not depend on ordinary exemption analysis in the same way.</w:t>
      </w:r>
    </w:p>
    <w:p>
      <w:pPr>
        <w:spacing w:line="360" w:after="210" w:lineRule="auto"/>
      </w:pPr>
      <w:r>
        <w:rPr>
          <w:rFonts w:eastAsia="source serif 4" w:cs="source serif 4" w:ascii="source serif 4" w:hAnsi="source serif 4"/>
          <w:color w:val="000000"/>
        </w:rPr>
        <w:t xml:space="preserve">This is the first major shift in mindset: stop thinking of the problem as “I have debt,” and start thinking of it as “What exactly can this creditor reach, and what can still be protected?”</w:t>
      </w:r>
    </w:p>
    <w:p>
      <w:pPr>
        <w:spacing w:line="360" w:before="315" w:after="105" w:lineRule="auto"/>
        <w:ind w:left="-30"/>
        <w:jc w:val="left"/>
      </w:pPr>
      <w:bookmarkStart w:id="3" w:name="bm_3_what_may_still_be_protected"/>
      <w:r>
        <w:rPr>
          <w:rFonts w:eastAsia="source serif 4" w:cs="source serif 4" w:ascii="source serif 4" w:hAnsi="source serif 4"/>
          <w:b/>
          <w:color w:val="000000"/>
          <w:sz w:val="24"/>
        </w:rPr>
        <w:t xml:space="preserve">3. What may still be protected</w:t>
      </w:r>
      <w:bookmarkEnd w:id="3"/>
    </w:p>
    <w:p>
      <w:pPr>
        <w:spacing w:line="360" w:after="210" w:lineRule="auto"/>
      </w:pPr>
      <w:r>
        <w:rPr>
          <w:rFonts w:eastAsia="source serif 4" w:cs="source serif 4" w:ascii="source serif 4" w:hAnsi="source serif 4"/>
          <w:color w:val="000000"/>
        </w:rPr>
        <w:t xml:space="preserve">This is the part many people never hear clearly enough: even if a creditor sues and wins a judgment, not everything is automatically up for grabs. The law may protect some of a person’s money or property as </w:t>
      </w:r>
      <w:r>
        <w:rPr>
          <w:rFonts w:eastAsia="source serif 4" w:cs="source serif 4" w:ascii="source serif 4" w:hAnsi="source serif 4"/>
          <w:b/>
          <w:color w:val="000000"/>
        </w:rPr>
        <w:t xml:space="preserve">exempt</w:t>
      </w:r>
      <w:r>
        <w:rPr>
          <w:rFonts w:eastAsia="source serif 4" w:cs="source serif 4" w:ascii="source serif 4" w:hAnsi="source serif 4"/>
          <w:color w:val="000000"/>
        </w:rPr>
        <w:t xml:space="preserve">, meaning a creditor cannot take it, or cannot take it without the debtor having a chance to claim the protection [cite:46][cite:56].</w:t>
      </w:r>
    </w:p>
    <w:p>
      <w:pPr>
        <w:spacing w:line="360" w:after="210" w:lineRule="auto"/>
      </w:pPr>
      <w:r>
        <w:rPr>
          <w:rFonts w:eastAsia="source serif 4" w:cs="source serif 4" w:ascii="source serif 4" w:hAnsi="source serif 4"/>
          <w:color w:val="000000"/>
        </w:rPr>
        <w:t xml:space="preserve">Depending on the reader’s state and circumstances, the following categories may be partly or fully protected:</w:t>
      </w:r>
    </w:p>
    <w:p>
      <w:pPr>
        <w:numPr>
          <w:ilvl w:val="0"/>
          <w:numId w:val="2"/>
        </w:numPr>
        <w:spacing w:line="360" w:before="105" w:after="105" w:lineRule="auto"/>
      </w:pPr>
      <w:r>
        <w:rPr>
          <w:rFonts w:eastAsia="source serif 4" w:cs="source serif 4" w:ascii="source serif 4" w:hAnsi="source serif 4"/>
          <w:color w:val="000000"/>
          <w:sz w:val="21"/>
        </w:rPr>
        <w:t xml:space="preserve">Some wages.</w:t>
      </w:r>
    </w:p>
    <w:p>
      <w:pPr>
        <w:numPr>
          <w:ilvl w:val="0"/>
          <w:numId w:val="2"/>
        </w:numPr>
        <w:spacing w:line="360" w:before="105" w:after="105" w:lineRule="auto"/>
      </w:pPr>
      <w:r>
        <w:rPr>
          <w:rFonts w:eastAsia="source serif 4" w:cs="source serif 4" w:ascii="source serif 4" w:hAnsi="source serif 4"/>
          <w:color w:val="000000"/>
          <w:sz w:val="21"/>
        </w:rPr>
        <w:t xml:space="preserve">Some money in a bank account.</w:t>
      </w:r>
    </w:p>
    <w:p>
      <w:pPr>
        <w:numPr>
          <w:ilvl w:val="0"/>
          <w:numId w:val="2"/>
        </w:numPr>
        <w:spacing w:line="360" w:before="105" w:after="105" w:lineRule="auto"/>
      </w:pPr>
      <w:r>
        <w:rPr>
          <w:rFonts w:eastAsia="source serif 4" w:cs="source serif 4" w:ascii="source serif 4" w:hAnsi="source serif 4"/>
          <w:color w:val="000000"/>
          <w:sz w:val="21"/>
        </w:rPr>
        <w:t xml:space="preserve">Social Security and certain public benefits.</w:t>
      </w:r>
    </w:p>
    <w:p>
      <w:pPr>
        <w:numPr>
          <w:ilvl w:val="0"/>
          <w:numId w:val="2"/>
        </w:numPr>
        <w:spacing w:line="360" w:before="105" w:after="105" w:lineRule="auto"/>
      </w:pPr>
      <w:r>
        <w:rPr>
          <w:rFonts w:eastAsia="source serif 4" w:cs="source serif 4" w:ascii="source serif 4" w:hAnsi="source serif 4"/>
          <w:color w:val="000000"/>
          <w:sz w:val="21"/>
        </w:rPr>
        <w:t xml:space="preserve">Some retirement funds.</w:t>
      </w:r>
    </w:p>
    <w:p>
      <w:pPr>
        <w:numPr>
          <w:ilvl w:val="0"/>
          <w:numId w:val="2"/>
        </w:numPr>
        <w:spacing w:line="360" w:before="105" w:after="105" w:lineRule="auto"/>
      </w:pPr>
      <w:r>
        <w:rPr>
          <w:rFonts w:eastAsia="source serif 4" w:cs="source serif 4" w:ascii="source serif 4" w:hAnsi="source serif 4"/>
          <w:color w:val="000000"/>
          <w:sz w:val="21"/>
        </w:rPr>
        <w:t xml:space="preserve">Some home equity.</w:t>
      </w:r>
    </w:p>
    <w:p>
      <w:pPr>
        <w:numPr>
          <w:ilvl w:val="0"/>
          <w:numId w:val="2"/>
        </w:numPr>
        <w:spacing w:line="360" w:before="105" w:after="105" w:lineRule="auto"/>
      </w:pPr>
      <w:r>
        <w:rPr>
          <w:rFonts w:eastAsia="source serif 4" w:cs="source serif 4" w:ascii="source serif 4" w:hAnsi="source serif 4"/>
          <w:color w:val="000000"/>
          <w:sz w:val="21"/>
        </w:rPr>
        <w:t xml:space="preserve">Some cars, tools, and household goods [cite:46][cite:59][cite:104].</w:t>
      </w:r>
    </w:p>
    <w:p>
      <w:pPr>
        <w:spacing w:line="360" w:after="210" w:lineRule="auto"/>
      </w:pPr>
      <w:r>
        <w:rPr>
          <w:rFonts w:eastAsia="source serif 4" w:cs="source serif 4" w:ascii="source serif 4" w:hAnsi="source serif 4"/>
          <w:color w:val="000000"/>
        </w:rPr>
        <w:t xml:space="preserve">In Alabama, for example, Alabama Legal Help explains that after a judgment a creditor may try to reach some wages, personal property, or a house, but the debtor can also claim certain money and property as exempt [cite:46]. Alabama Legal Help lists a homestead exemption and a personal property exemption, and it also identifies categories of money that are typically exempt, such as unemployment compensation, Social Security benefits, child support, veterans’ pensions, and certain retirement benefits [cite:46].</w:t>
      </w:r>
    </w:p>
    <w:p>
      <w:pPr>
        <w:spacing w:line="360" w:after="210" w:lineRule="auto"/>
      </w:pPr>
      <w:r>
        <w:rPr>
          <w:rFonts w:eastAsia="source serif 4" w:cs="source serif 4" w:ascii="source serif 4" w:hAnsi="source serif 4"/>
          <w:color w:val="000000"/>
        </w:rPr>
        <w:t xml:space="preserve">Alabama also provides self-help materials for stopping some wage garnishments and for requesting protection of money taken from a bank account, which shows why state procedure matters almost as much as the exemption itself [cite:99][cite:101]. The details will not be the same in every state, but the larger principle is the same everywhere: the reader should not assume that a creditor can automatically take every dollar or every asset.</w:t>
      </w:r>
    </w:p>
    <w:p>
      <w:pPr>
        <w:spacing w:line="360" w:before="315" w:after="105" w:lineRule="auto"/>
        <w:ind w:left="-30"/>
        <w:jc w:val="left"/>
      </w:pPr>
      <w:bookmarkStart w:id="4" w:name="bm_4_the_immediate_actions_checklist"/>
      <w:r>
        <w:rPr>
          <w:rFonts w:eastAsia="source serif 4" w:cs="source serif 4" w:ascii="source serif 4" w:hAnsi="source serif 4"/>
          <w:b/>
          <w:color w:val="000000"/>
          <w:sz w:val="24"/>
        </w:rPr>
        <w:t xml:space="preserve">4. The immediate actions checklist</w:t>
      </w:r>
      <w:bookmarkEnd w:id="4"/>
    </w:p>
    <w:p>
      <w:pPr>
        <w:spacing w:line="360" w:after="210" w:lineRule="auto"/>
      </w:pPr>
      <w:r>
        <w:rPr>
          <w:rFonts w:eastAsia="source serif 4" w:cs="source serif 4" w:ascii="source serif 4" w:hAnsi="source serif 4"/>
          <w:color w:val="000000"/>
        </w:rPr>
        <w:t xml:space="preserve">When bankruptcy is not available, the first goal is to slow down the situation and stop avoidable mistakes. The next goal is to gather the information needed to protect what can still be protected.</w:t>
      </w:r>
    </w:p>
    <w:p>
      <w:pPr>
        <w:spacing w:line="360" w:after="210" w:lineRule="auto"/>
      </w:pPr>
      <w:r>
        <w:rPr>
          <w:rFonts w:eastAsia="source serif 4" w:cs="source serif 4" w:ascii="source serif 4" w:hAnsi="source serif 4"/>
          <w:color w:val="000000"/>
        </w:rPr>
        <w:t xml:space="preserve">Use this immediate checklist:</w:t>
      </w:r>
    </w:p>
    <w:p>
      <w:pPr>
        <w:numPr>
          <w:ilvl w:val="0"/>
          <w:numId w:val="3"/>
        </w:numPr>
        <w:spacing w:line="360" w:before="105" w:after="105" w:lineRule="auto"/>
      </w:pPr>
      <w:r>
        <w:rPr>
          <w:rFonts w:eastAsia="source serif 4" w:cs="source serif 4" w:ascii="source serif 4" w:hAnsi="source serif 4"/>
          <w:color w:val="000000"/>
          <w:sz w:val="21"/>
        </w:rPr>
        <w:t xml:space="preserve">Do not ignore court papers, garnishment papers, or notices from a bank.</w:t>
      </w:r>
    </w:p>
    <w:p>
      <w:pPr>
        <w:numPr>
          <w:ilvl w:val="0"/>
          <w:numId w:val="3"/>
        </w:numPr>
        <w:spacing w:line="360" w:before="105" w:after="105" w:lineRule="auto"/>
      </w:pPr>
      <w:r>
        <w:rPr>
          <w:rFonts w:eastAsia="source serif 4" w:cs="source serif 4" w:ascii="source serif 4" w:hAnsi="source serif 4"/>
          <w:color w:val="000000"/>
          <w:sz w:val="21"/>
        </w:rPr>
        <w:t xml:space="preserve">Do not assume a collector is telling the whole truth about what can be taken.</w:t>
      </w:r>
    </w:p>
    <w:p>
      <w:pPr>
        <w:numPr>
          <w:ilvl w:val="0"/>
          <w:numId w:val="3"/>
        </w:numPr>
        <w:spacing w:line="360" w:before="105" w:after="105" w:lineRule="auto"/>
      </w:pPr>
      <w:r>
        <w:rPr>
          <w:rFonts w:eastAsia="source serif 4" w:cs="source serif 4" w:ascii="source serif 4" w:hAnsi="source serif 4"/>
          <w:color w:val="000000"/>
          <w:sz w:val="21"/>
        </w:rPr>
        <w:t xml:space="preserve">Gather recent bank statements, pay stubs, benefit letters, tax returns, loan contracts, and court notices.</w:t>
      </w:r>
    </w:p>
    <w:p>
      <w:pPr>
        <w:numPr>
          <w:ilvl w:val="0"/>
          <w:numId w:val="3"/>
        </w:numPr>
        <w:spacing w:line="360" w:before="105" w:after="105" w:lineRule="auto"/>
      </w:pPr>
      <w:r>
        <w:rPr>
          <w:rFonts w:eastAsia="source serif 4" w:cs="source serif 4" w:ascii="source serif 4" w:hAnsi="source serif 4"/>
          <w:color w:val="000000"/>
          <w:sz w:val="21"/>
        </w:rPr>
        <w:t xml:space="preserve">Make a simple list of all debts and identify which are secured and which are unsecured.</w:t>
      </w:r>
    </w:p>
    <w:p>
      <w:pPr>
        <w:numPr>
          <w:ilvl w:val="0"/>
          <w:numId w:val="3"/>
        </w:numPr>
        <w:spacing w:line="360" w:before="105" w:after="105" w:lineRule="auto"/>
      </w:pPr>
      <w:r>
        <w:rPr>
          <w:rFonts w:eastAsia="source serif 4" w:cs="source serif 4" w:ascii="source serif 4" w:hAnsi="source serif 4"/>
          <w:color w:val="000000"/>
          <w:sz w:val="21"/>
        </w:rPr>
        <w:t xml:space="preserve">Identify the source of every recent deposit into the bank account.</w:t>
      </w:r>
    </w:p>
    <w:p>
      <w:pPr>
        <w:numPr>
          <w:ilvl w:val="0"/>
          <w:numId w:val="3"/>
        </w:numPr>
        <w:spacing w:line="360" w:before="105" w:after="105" w:lineRule="auto"/>
      </w:pPr>
      <w:r>
        <w:rPr>
          <w:rFonts w:eastAsia="source serif 4" w:cs="source serif 4" w:ascii="source serif 4" w:hAnsi="source serif 4"/>
          <w:color w:val="000000"/>
          <w:sz w:val="21"/>
        </w:rPr>
        <w:t xml:space="preserve">Check whether the debt is already in lawsuit or judgment stage.</w:t>
      </w:r>
    </w:p>
    <w:p>
      <w:pPr>
        <w:numPr>
          <w:ilvl w:val="0"/>
          <w:numId w:val="3"/>
        </w:numPr>
        <w:spacing w:line="360" w:before="105" w:after="105" w:lineRule="auto"/>
      </w:pPr>
      <w:r>
        <w:rPr>
          <w:rFonts w:eastAsia="source serif 4" w:cs="source serif 4" w:ascii="source serif 4" w:hAnsi="source serif 4"/>
          <w:color w:val="000000"/>
          <w:sz w:val="21"/>
        </w:rPr>
        <w:t xml:space="preserve">Look up the exemption rules for the reader’s state.</w:t>
      </w:r>
    </w:p>
    <w:p>
      <w:pPr>
        <w:numPr>
          <w:ilvl w:val="0"/>
          <w:numId w:val="3"/>
        </w:numPr>
        <w:spacing w:line="360" w:before="105" w:after="105" w:lineRule="auto"/>
      </w:pPr>
      <w:r>
        <w:rPr>
          <w:rFonts w:eastAsia="source serif 4" w:cs="source serif 4" w:ascii="source serif 4" w:hAnsi="source serif 4"/>
          <w:color w:val="000000"/>
          <w:sz w:val="21"/>
        </w:rPr>
        <w:t xml:space="preserve">Look for local court forms, legal aid instructions, or self-help resources.</w:t>
      </w:r>
    </w:p>
    <w:p>
      <w:pPr>
        <w:numPr>
          <w:ilvl w:val="0"/>
          <w:numId w:val="3"/>
        </w:numPr>
        <w:spacing w:line="360" w:before="105" w:after="105" w:lineRule="auto"/>
      </w:pPr>
      <w:r>
        <w:rPr>
          <w:rFonts w:eastAsia="source serif 4" w:cs="source serif 4" w:ascii="source serif 4" w:hAnsi="source serif 4"/>
          <w:color w:val="000000"/>
          <w:sz w:val="21"/>
        </w:rPr>
        <w:t xml:space="preserve">Avoid transferring property just to hide it from creditors.</w:t>
      </w:r>
    </w:p>
    <w:p>
      <w:pPr>
        <w:spacing w:line="360" w:after="210" w:lineRule="auto"/>
      </w:pPr>
      <w:r>
        <w:rPr>
          <w:rFonts w:eastAsia="source serif 4" w:cs="source serif 4" w:ascii="source serif 4" w:hAnsi="source serif 4"/>
          <w:color w:val="000000"/>
        </w:rPr>
        <w:t xml:space="preserve">That last point matters. Trying to hide assets or move them improperly can make a bad situation worse. A lawful exemption strategy is different from concealment.</w:t>
      </w:r>
    </w:p>
    <w:p>
      <w:pPr>
        <w:spacing w:line="360" w:after="210" w:lineRule="auto"/>
      </w:pPr>
      <w:r>
        <w:rPr>
          <w:rFonts w:eastAsia="source serif 4" w:cs="source serif 4" w:ascii="source serif 4" w:hAnsi="source serif 4"/>
          <w:color w:val="000000"/>
        </w:rPr>
        <w:t xml:space="preserve">In Alabama, Legal Help materials explain that wage garnishment usually requires a lawsuit and judgment first, and they also describe forms that may be used to stop a wage garnishment or protect money in a bank account [cite:59][cite:99][cite:101]. That means a reader who gets a garnishment notice should think in terms of deadlines, documents, and exemption procedure, not just fear.</w:t>
      </w:r>
    </w:p>
    <w:p>
      <w:pPr>
        <w:spacing w:line="360" w:before="315" w:after="105" w:lineRule="auto"/>
        <w:ind w:left="-30"/>
        <w:jc w:val="left"/>
      </w:pPr>
      <w:bookmarkStart w:id="5" w:name="bm_5_what_exemptions_are"/>
      <w:r>
        <w:rPr>
          <w:rFonts w:eastAsia="source serif 4" w:cs="source serif 4" w:ascii="source serif 4" w:hAnsi="source serif 4"/>
          <w:b/>
          <w:color w:val="000000"/>
          <w:sz w:val="24"/>
        </w:rPr>
        <w:t xml:space="preserve">5. What exemptions are</w:t>
      </w:r>
      <w:bookmarkEnd w:id="5"/>
    </w:p>
    <w:p>
      <w:pPr>
        <w:spacing w:line="360" w:after="210" w:lineRule="auto"/>
      </w:pPr>
      <w:r>
        <w:rPr>
          <w:rFonts w:eastAsia="source serif 4" w:cs="source serif 4" w:ascii="source serif 4" w:hAnsi="source serif 4"/>
          <w:color w:val="000000"/>
        </w:rPr>
        <w:t xml:space="preserve">An exemption is a legal protection that keeps certain property or income from being taken to pay a debt. The exact categories and dollar amounts depend heavily on state law, although some federal protections also matter, especially for certain benefits and debt collection conduct [cite:46][cite:97].</w:t>
      </w:r>
    </w:p>
    <w:p>
      <w:pPr>
        <w:spacing w:line="360" w:after="210" w:lineRule="auto"/>
      </w:pPr>
      <w:r>
        <w:rPr>
          <w:rFonts w:eastAsia="source serif 4" w:cs="source serif 4" w:ascii="source serif 4" w:hAnsi="source serif 4"/>
          <w:color w:val="000000"/>
        </w:rPr>
        <w:t xml:space="preserve">A simple way to think about exemptions is this: they are the law’s way of saying that a person should not always be stripped of the basic things needed to live, work, and support a household. In practice, however, those protections are only as useful as the person’s ability to identify them and claim them in time.</w:t>
      </w:r>
    </w:p>
    <w:p>
      <w:pPr>
        <w:spacing w:line="360" w:after="210" w:lineRule="auto"/>
      </w:pPr>
      <w:r>
        <w:rPr>
          <w:rFonts w:eastAsia="source serif 4" w:cs="source serif 4" w:ascii="source serif 4" w:hAnsi="source serif 4"/>
          <w:color w:val="000000"/>
        </w:rPr>
        <w:t xml:space="preserve">That is why procedure matters. In Alabama, for example, a debtor may be able to file a claim of exemption to try to stop or reduce a wage garnishment, and Alabama Legal Help says the court will give the creditor 15 days to challenge the exemption in some situations [cite:59]. Alabama self-help resources also describe a form used to request that a court stop garnishment of money from a bank account [cite:99].</w:t>
      </w:r>
    </w:p>
    <w:p>
      <w:pPr>
        <w:spacing w:line="360" w:after="210" w:lineRule="auto"/>
      </w:pPr>
      <w:r>
        <w:rPr>
          <w:rFonts w:eastAsia="source serif 4" w:cs="source serif 4" w:ascii="source serif 4" w:hAnsi="source serif 4"/>
          <w:color w:val="000000"/>
        </w:rPr>
        <w:t xml:space="preserve">The same general idea applies in other states even when the names of the forms, the deadlines, and the exemption amounts are different. The strategic lesson is simple: readers should learn what the exemption is, what property it covers, what proof is needed, and how to claim it before the money is gone.</w:t>
      </w:r>
    </w:p>
    <w:p>
      <w:pPr>
        <w:spacing w:line="360" w:before="315" w:after="105" w:lineRule="auto"/>
        <w:ind w:left="-30"/>
        <w:jc w:val="left"/>
      </w:pPr>
      <w:bookmarkStart w:id="6" w:name="where_to_go_next"/>
      <w:r>
        <w:rPr>
          <w:rFonts w:eastAsia="source serif 4" w:cs="source serif 4" w:ascii="source serif 4" w:hAnsi="source serif 4"/>
          <w:b/>
          <w:color w:val="000000"/>
          <w:sz w:val="24"/>
        </w:rPr>
        <w:t xml:space="preserve">Where to go next</w:t>
      </w:r>
      <w:bookmarkEnd w:id="6"/>
    </w:p>
    <w:p>
      <w:pPr>
        <w:spacing w:line="360" w:after="210" w:lineRule="auto"/>
      </w:pPr>
      <w:r>
        <w:rPr>
          <w:rFonts w:eastAsia="source serif 4" w:cs="source serif 4" w:ascii="source serif 4" w:hAnsi="source serif 4"/>
          <w:color w:val="000000"/>
        </w:rPr>
        <w:t xml:space="preserve">This report is meant to answer the first question: </w:t>
      </w:r>
      <w:r>
        <w:rPr>
          <w:rFonts w:eastAsia="source serif 4" w:cs="source serif 4" w:ascii="source serif 4" w:hAnsi="source serif 4"/>
          <w:b/>
          <w:color w:val="000000"/>
        </w:rPr>
        <w:t xml:space="preserve">What can still be done?</w:t>
      </w:r>
      <w:r>
        <w:rPr>
          <w:rFonts w:eastAsia="source serif 4" w:cs="source serif 4" w:ascii="source serif 4" w:hAnsi="source serif 4"/>
          <w:color w:val="000000"/>
        </w:rPr>
        <w:t xml:space="preserve"> The next step is learning </w:t>
      </w:r>
      <w:r>
        <w:rPr>
          <w:rFonts w:eastAsia="source serif 4" w:cs="source serif 4" w:ascii="source serif 4" w:hAnsi="source serif 4"/>
          <w:b/>
          <w:color w:val="000000"/>
        </w:rPr>
        <w:t xml:space="preserve">how</w:t>
      </w:r>
      <w:r>
        <w:rPr>
          <w:rFonts w:eastAsia="source serif 4" w:cs="source serif 4" w:ascii="source serif 4" w:hAnsi="source serif 4"/>
          <w:color w:val="000000"/>
        </w:rPr>
        <w:t xml:space="preserve"> to do it.</w:t>
      </w:r>
    </w:p>
    <w:p>
      <w:pPr>
        <w:spacing w:line="360" w:after="210" w:lineRule="auto"/>
      </w:pPr>
      <w:r>
        <w:rPr>
          <w:rFonts w:eastAsia="source serif 4" w:cs="source serif 4" w:ascii="source serif 4" w:hAnsi="source serif 4"/>
          <w:color w:val="000000"/>
        </w:rPr>
        <w:t xml:space="preserve">The ebook expands this framework into a step-by-step guide covering:</w:t>
      </w:r>
    </w:p>
    <w:p>
      <w:pPr>
        <w:numPr>
          <w:ilvl w:val="0"/>
          <w:numId w:val="4"/>
        </w:numPr>
        <w:spacing w:line="360" w:before="105" w:after="105" w:lineRule="auto"/>
      </w:pPr>
      <w:r>
        <w:rPr>
          <w:rFonts w:eastAsia="source serif 4" w:cs="source serif 4" w:ascii="source serif 4" w:hAnsi="source serif 4"/>
          <w:color w:val="000000"/>
          <w:sz w:val="21"/>
        </w:rPr>
        <w:t xml:space="preserve">How to protect bank accounts.</w:t>
      </w:r>
    </w:p>
    <w:p>
      <w:pPr>
        <w:numPr>
          <w:ilvl w:val="0"/>
          <w:numId w:val="4"/>
        </w:numPr>
        <w:spacing w:line="360" w:before="105" w:after="105" w:lineRule="auto"/>
      </w:pPr>
      <w:r>
        <w:rPr>
          <w:rFonts w:eastAsia="source serif 4" w:cs="source serif 4" w:ascii="source serif 4" w:hAnsi="source serif 4"/>
          <w:color w:val="000000"/>
          <w:sz w:val="21"/>
        </w:rPr>
        <w:t xml:space="preserve">How to protect wages and income.</w:t>
      </w:r>
    </w:p>
    <w:p>
      <w:pPr>
        <w:numPr>
          <w:ilvl w:val="0"/>
          <w:numId w:val="4"/>
        </w:numPr>
        <w:spacing w:line="360" w:before="105" w:after="105" w:lineRule="auto"/>
      </w:pPr>
      <w:r>
        <w:rPr>
          <w:rFonts w:eastAsia="source serif 4" w:cs="source serif 4" w:ascii="source serif 4" w:hAnsi="source serif 4"/>
          <w:color w:val="000000"/>
          <w:sz w:val="21"/>
        </w:rPr>
        <w:t xml:space="preserve">How to protect a home, car, and personal property.</w:t>
      </w:r>
    </w:p>
    <w:p>
      <w:pPr>
        <w:numPr>
          <w:ilvl w:val="0"/>
          <w:numId w:val="4"/>
        </w:numPr>
        <w:spacing w:line="360" w:before="105" w:after="105" w:lineRule="auto"/>
      </w:pPr>
      <w:r>
        <w:rPr>
          <w:rFonts w:eastAsia="source serif 4" w:cs="source serif 4" w:ascii="source serif 4" w:hAnsi="source serif 4"/>
          <w:color w:val="000000"/>
          <w:sz w:val="21"/>
        </w:rPr>
        <w:t xml:space="preserve">How to respond to debt collectors and lawsuits.</w:t>
      </w:r>
    </w:p>
    <w:p>
      <w:pPr>
        <w:numPr>
          <w:ilvl w:val="0"/>
          <w:numId w:val="4"/>
        </w:numPr>
        <w:spacing w:line="360" w:before="105" w:after="105" w:lineRule="auto"/>
      </w:pPr>
      <w:r>
        <w:rPr>
          <w:rFonts w:eastAsia="source serif 4" w:cs="source serif 4" w:ascii="source serif 4" w:hAnsi="source serif 4"/>
          <w:color w:val="000000"/>
          <w:sz w:val="21"/>
        </w:rPr>
        <w:t xml:space="preserve">How to use exemptions and local procedure in the reader’s own state.</w:t>
      </w:r>
    </w:p>
    <w:p>
      <w:pPr>
        <w:spacing w:line="360" w:after="210" w:lineRule="auto"/>
      </w:pPr>
      <w:r>
        <w:rPr>
          <w:rFonts w:eastAsia="source serif 4" w:cs="source serif 4" w:ascii="source serif 4" w:hAnsi="source serif 4"/>
          <w:color w:val="000000"/>
        </w:rPr>
        <w:t xml:space="preserve">The course goes one step further by turning those ideas into a practical system with worksheets, examples, and implementation steps.</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ource serif 4">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2026-06-30T03:26:56.957Z</dcterms:created>
  <dcterms:modified xsi:type="dcterms:W3CDTF">2026-06-30T03:26:56.957Z</dcterms:modified>
</cp:coreProperties>
</file>