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DERECHO DE PETICIÓN</w:t>
      </w:r>
    </w:p>
    <w:p>
      <w:r>
        <w:rPr>
          <w:b/>
        </w:rPr>
        <w:t xml:space="preserve">Fundamento: </w:t>
      </w:r>
      <w:r>
        <w:t>Artículo 23 de la Constitución Política; Ley 1755 de 2015; Ley 2300 de 2023; Ley 1328 de 2009; Ley 1266 de 2008; Ley 1581 de 2012.</w:t>
      </w:r>
    </w:p>
    <w:p>
      <w:pPr>
        <w:pStyle w:val="Heading2"/>
      </w:pPr>
      <w:r>
        <w:t>I. Hechos</w:t>
      </w:r>
    </w:p>
    <w:p>
      <w:r>
        <w:t>Desde hace varios días recibo llamadas, mensajes y demás gestiones de cobro de forma reiterada e insistente por parte de la casa de cobranza XXX o de la entidad financiera XXX.</w:t>
      </w:r>
    </w:p>
    <w:p>
      <w:r>
        <w:t>La intensidad y frecuencia de estas actuaciones exceden una gestión legítima de cobranza y constituyen un escenario de presión que afecta mi tranquilidad, intimidad y salud mental.</w:t>
      </w:r>
    </w:p>
    <w:p>
      <w:r>
        <w:t>Desconozco la totalidad de los documentos que soportan la obligación y la legitimación de quien adelanta el cobro.</w:t>
      </w:r>
    </w:p>
    <w:p>
      <w:pPr>
        <w:pStyle w:val="Heading2"/>
      </w:pPr>
      <w:r>
        <w:t>II. Fundamentos jurídicos</w:t>
      </w:r>
    </w:p>
    <w:p>
      <w:r>
        <w:t>El artículo 23 de la Constitución garantiza el derecho fundamental de petición.</w:t>
      </w:r>
    </w:p>
    <w:p>
      <w:r>
        <w:t>Los artículos 15 y 20 de la Constitución protegen la intimidad, el habeas data y el buen nombre.</w:t>
      </w:r>
    </w:p>
    <w:p>
      <w:r>
        <w:t>La Ley 2300 de 2023 impone límites a las prácticas de cobranza para evitar actuaciones abusivas, invasivas o desproporcionadas.</w:t>
      </w:r>
    </w:p>
    <w:p>
      <w:r>
        <w:t>La Ley 1328 de 2009 reconoce los derechos del consumidor financiero a recibir información clara, suficiente y verificable.</w:t>
      </w:r>
    </w:p>
    <w:p>
      <w:r>
        <w:t>La Ley 1266 de 2008 y la Ley 1581 de 2012 garantizan el acceso, conocimiento y actualización de la información personal y financiera.</w:t>
      </w:r>
    </w:p>
    <w:p>
      <w:r>
        <w:t>La Corte Constitucional ha reiterado en sentencias como T-414 de 1992, SU-082 de 1995, T-729 de 2002, C-748 de 2011 y T-487 de 2017 que el habeas data, la intimidad y el debido tratamiento de los datos personales son derechos fundamentales, y que las actividades de cobranza deben respetar la dignidad humana y no pueden traducirse en mecanismos de hostigamiento.</w:t>
      </w:r>
    </w:p>
    <w:p>
      <w:pPr>
        <w:pStyle w:val="Heading2"/>
      </w:pPr>
      <w:r>
        <w:t>III. Solicitudes</w:t>
      </w:r>
    </w:p>
    <w:p>
      <w:r>
        <w:t>1. Copia íntegra del contrato mediante el cual adquirí el producto financiero.</w:t>
      </w:r>
    </w:p>
    <w:p>
      <w:r>
        <w:t>2. Copia del pagaré y de la carta de instrucciones.</w:t>
      </w:r>
    </w:p>
    <w:p>
      <w:r>
        <w:t>3. Fecha exacta en que incurrí en mora.</w:t>
      </w:r>
    </w:p>
    <w:p>
      <w:r>
        <w:t>4. Fecha exacta del reporte negativo ante las centrales de riesgo y prueba de la notificación previa cuando legalmente correspondiera.</w:t>
      </w:r>
    </w:p>
    <w:p>
      <w:r>
        <w:t>5. Copia del contrato de cesión de crédito, mandato, autorización o cualquier documento que demuestre la legitimación de la casa de cobranza para adelantar el cobro.</w:t>
      </w:r>
    </w:p>
    <w:p>
      <w:r>
        <w:t>6. Identificación del titular actual del crédito, indicando si la obligación fue cedida o continúa en cabeza de la entidad original.</w:t>
      </w:r>
    </w:p>
    <w:p>
      <w:r>
        <w:t>7. Que cesen las prácticas de cobranza que excedan los límites legales previstos en la Ley 2300 de 2023 mientras se resuelve esta petición.</w:t>
      </w:r>
    </w:p>
    <w:p>
      <w:pPr>
        <w:pStyle w:val="Heading2"/>
      </w:pPr>
      <w:r>
        <w:t>IV. Advertencia</w:t>
      </w:r>
    </w:p>
    <w:p>
      <w:r>
        <w:t>Una respuesta evasiva, incompleta o de trámite podrá constituir vulneración del derecho fundamental de petición y dar lugar a las acciones constitucionales y legales correspondientes, incluida la acción de tutela.</w:t>
      </w:r>
    </w:p>
    <w:p>
      <w:r>
        <w:br/>
        <w:t>Atentamente,</w:t>
        <w:br/>
        <w:br/>
        <w:t>Norberto Pomares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