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rStyle w:val="Strong"/>
          <w:b/>
          <w:bCs/>
        </w:rPr>
        <w:t>DARK PSYCHOLOGY TOOLKIT</w:t>
      </w:r>
    </w:p>
    <w:p>
      <w:pPr>
        <w:pStyle w:val="Heading3"/>
        <w:bidi w:val="0"/>
        <w:jc w:val="start"/>
        <w:rPr/>
      </w:pPr>
      <w:r>
        <w:rPr>
          <w:rStyle w:val="Emphasis"/>
        </w:rPr>
        <w:t>How Horror Movies Manipulate Your Mind—and How to Use (or Resist) These Tactics in Real Life</w:t>
      </w:r>
    </w:p>
    <w:p>
      <w:pPr>
        <w:pStyle w:val="HorizontalLine"/>
        <w:bidi w:val="0"/>
        <w:jc w:val="start"/>
        <w:rPr/>
      </w:pPr>
      <w:r>
        <w:rPr/>
      </w:r>
    </w:p>
    <w:p>
      <w:pPr>
        <w:pStyle w:val="Heading2"/>
        <w:bidi w:val="0"/>
        <w:jc w:val="start"/>
        <w:rPr/>
      </w:pPr>
      <w:r>
        <w:rPr>
          <w:rStyle w:val="Strong"/>
          <w:b/>
          <w:bCs/>
        </w:rPr>
        <w:t>Introduction</w:t>
      </w:r>
    </w:p>
    <w:p>
      <w:pPr>
        <w:pStyle w:val="BodyText"/>
        <w:bidi w:val="0"/>
        <w:jc w:val="start"/>
        <w:rPr/>
      </w:pPr>
      <w:r>
        <w:rPr/>
        <w:t xml:space="preserve">Ever wonder why horror movies keep you on the edge of your seat? Or why some people seem to effortlessly influence others? The answer lies in </w:t>
      </w:r>
      <w:r>
        <w:rPr>
          <w:rStyle w:val="Strong"/>
        </w:rPr>
        <w:t>dark psychology</w:t>
      </w:r>
      <w:r>
        <w:rPr/>
        <w:t>—subtle tactics that tap into fear, curiosity, and human instincts.</w:t>
      </w:r>
    </w:p>
    <w:p>
      <w:pPr>
        <w:pStyle w:val="BodyText"/>
        <w:bidi w:val="0"/>
        <w:jc w:val="start"/>
        <w:rPr/>
      </w:pPr>
      <w:r>
        <w:rPr/>
        <w:t xml:space="preserve">This toolkit reveals </w:t>
      </w:r>
      <w:r>
        <w:rPr>
          <w:rStyle w:val="Strong"/>
        </w:rPr>
        <w:t>3 dark psychology tactics</w:t>
      </w:r>
      <w:r>
        <w:rPr/>
        <w:t xml:space="preserve"> used in horror films and real life. You’ll learn how to spot them, use them ethically, or defend against them.</w:t>
      </w:r>
    </w:p>
    <w:p>
      <w:pPr>
        <w:pStyle w:val="HorizontalLine"/>
        <w:bidi w:val="0"/>
        <w:jc w:val="start"/>
        <w:rPr/>
      </w:pPr>
      <w:r>
        <w:rPr/>
      </w:r>
    </w:p>
    <w:p>
      <w:pPr>
        <w:pStyle w:val="Heading2"/>
        <w:bidi w:val="0"/>
        <w:jc w:val="start"/>
        <w:rPr/>
      </w:pPr>
      <w:r>
        <w:rPr>
          <w:rStyle w:val="Strong"/>
          <w:b/>
          <w:bCs/>
        </w:rPr>
        <w:t>Tactic 1: The Fear of the Unknown</w:t>
      </w:r>
    </w:p>
    <w:p>
      <w:pPr>
        <w:pStyle w:val="Heading3"/>
        <w:bidi w:val="0"/>
        <w:jc w:val="start"/>
        <w:rPr/>
      </w:pPr>
      <w:r>
        <w:rPr>
          <w:rStyle w:val="Emphasis"/>
        </w:rPr>
        <w:t>Why It Works</w:t>
      </w:r>
    </w:p>
    <w:p>
      <w:pPr>
        <w:pStyle w:val="BodyText"/>
        <w:bidi w:val="0"/>
        <w:jc w:val="start"/>
        <w:rPr/>
      </w:pPr>
      <w:r>
        <w:rPr/>
        <w:t xml:space="preserve">Horror movies thrive on </w:t>
      </w:r>
      <w:r>
        <w:rPr>
          <w:rStyle w:val="Strong"/>
        </w:rPr>
        <w:t>uncertainty</w:t>
      </w:r>
      <w:r>
        <w:rPr/>
        <w:t>. Your brain fills in the gaps with your worst fears (e.g., what’s lurking in the dark?). In real life, this tactic is used to create intrigue, urgency, or even anxiety.</w:t>
      </w:r>
    </w:p>
    <w:p>
      <w:pPr>
        <w:pStyle w:val="Heading3"/>
        <w:bidi w:val="0"/>
        <w:jc w:val="start"/>
        <w:rPr/>
      </w:pPr>
      <w:r>
        <w:rPr>
          <w:rStyle w:val="Emphasis"/>
        </w:rPr>
        <w:t>Example in Horror</w:t>
      </w:r>
    </w:p>
    <w:p>
      <w:pPr>
        <w:pStyle w:val="BodyText"/>
        <w:numPr>
          <w:ilvl w:val="0"/>
          <w:numId w:val="1"/>
        </w:numPr>
        <w:tabs>
          <w:tab w:val="clear" w:pos="709"/>
          <w:tab w:val="left" w:pos="709" w:leader="none"/>
        </w:tabs>
        <w:bidi w:val="0"/>
        <w:ind w:hanging="283" w:start="709"/>
        <w:jc w:val="start"/>
        <w:rPr/>
      </w:pPr>
      <w:r>
        <w:rPr>
          <w:rStyle w:val="Strong"/>
        </w:rPr>
        <w:t>"The Blair Witch Project"</w:t>
      </w:r>
      <w:r>
        <w:rPr/>
        <w:t>: The monster is never fully shown, making your imagination scarier than any CGI.</w:t>
      </w:r>
    </w:p>
    <w:p>
      <w:pPr>
        <w:pStyle w:val="BodyText"/>
        <w:numPr>
          <w:ilvl w:val="0"/>
          <w:numId w:val="1"/>
        </w:numPr>
        <w:tabs>
          <w:tab w:val="clear" w:pos="709"/>
          <w:tab w:val="left" w:pos="709" w:leader="none"/>
        </w:tabs>
        <w:bidi w:val="0"/>
        <w:ind w:hanging="283" w:start="709"/>
        <w:jc w:val="start"/>
        <w:rPr/>
      </w:pPr>
      <w:r>
        <w:rPr>
          <w:rStyle w:val="Strong"/>
        </w:rPr>
        <w:t>"Jaws"</w:t>
      </w:r>
      <w:r>
        <w:rPr/>
        <w:t>: The shark is barely seen until the climax, building dread.</w:t>
      </w:r>
    </w:p>
    <w:p>
      <w:pPr>
        <w:pStyle w:val="Heading3"/>
        <w:bidi w:val="0"/>
        <w:jc w:val="start"/>
        <w:rPr/>
      </w:pPr>
      <w:r>
        <w:rPr>
          <w:rStyle w:val="Emphasis"/>
        </w:rPr>
        <w:t>Real-Life Use</w:t>
      </w:r>
    </w:p>
    <w:p>
      <w:pPr>
        <w:pStyle w:val="BodyText"/>
        <w:numPr>
          <w:ilvl w:val="0"/>
          <w:numId w:val="2"/>
        </w:numPr>
        <w:tabs>
          <w:tab w:val="clear" w:pos="709"/>
          <w:tab w:val="left" w:pos="709" w:leader="none"/>
        </w:tabs>
        <w:bidi w:val="0"/>
        <w:ind w:hanging="283" w:start="709"/>
        <w:jc w:val="start"/>
        <w:rPr/>
      </w:pPr>
      <w:r>
        <w:rPr>
          <w:rStyle w:val="Strong"/>
        </w:rPr>
        <w:t>Marketing</w:t>
      </w:r>
      <w:r>
        <w:rPr/>
        <w:t>: "Limited-time offer—don’t miss out!" (Creates urgency by implying scarcity.)</w:t>
      </w:r>
    </w:p>
    <w:p>
      <w:pPr>
        <w:pStyle w:val="BodyText"/>
        <w:numPr>
          <w:ilvl w:val="0"/>
          <w:numId w:val="2"/>
        </w:numPr>
        <w:tabs>
          <w:tab w:val="clear" w:pos="709"/>
          <w:tab w:val="left" w:pos="709" w:leader="none"/>
        </w:tabs>
        <w:bidi w:val="0"/>
        <w:ind w:hanging="283" w:start="709"/>
        <w:jc w:val="start"/>
        <w:rPr/>
      </w:pPr>
      <w:r>
        <w:rPr>
          <w:rStyle w:val="Strong"/>
        </w:rPr>
        <w:t>Negotiation</w:t>
      </w:r>
      <w:r>
        <w:rPr/>
        <w:t>: "I’m not sure if this deal will last…" (Encourages quick decisions.)</w:t>
      </w:r>
    </w:p>
    <w:p>
      <w:pPr>
        <w:pStyle w:val="Heading3"/>
        <w:bidi w:val="0"/>
        <w:jc w:val="start"/>
        <w:rPr/>
      </w:pPr>
      <w:r>
        <w:rPr>
          <w:rStyle w:val="Emphasis"/>
        </w:rPr>
        <w:t>How to Resist</w:t>
      </w:r>
    </w:p>
    <w:p>
      <w:pPr>
        <w:pStyle w:val="BodyText"/>
        <w:bidi w:val="0"/>
        <w:jc w:val="start"/>
        <w:rPr/>
      </w:pPr>
      <w:r>
        <w:rPr/>
        <w:t xml:space="preserve">Ask yourself: </w:t>
      </w:r>
      <w:r>
        <w:rPr>
          <w:rStyle w:val="Emphasis"/>
        </w:rPr>
        <w:t>"Is this fear based on facts or manipulation?"</w:t>
      </w:r>
    </w:p>
    <w:p>
      <w:pPr>
        <w:pStyle w:val="HorizontalLine"/>
        <w:bidi w:val="0"/>
        <w:jc w:val="start"/>
        <w:rPr/>
      </w:pPr>
      <w:r>
        <w:rPr/>
      </w:r>
    </w:p>
    <w:p>
      <w:pPr>
        <w:pStyle w:val="Heading2"/>
        <w:bidi w:val="0"/>
        <w:jc w:val="start"/>
        <w:rPr/>
      </w:pPr>
      <w:r>
        <w:rPr>
          <w:rStyle w:val="Strong"/>
          <w:b/>
          <w:bCs/>
        </w:rPr>
        <w:t>Tactic 2: Social Proof (The Herd Mentality)</w:t>
      </w:r>
    </w:p>
    <w:p>
      <w:pPr>
        <w:pStyle w:val="Heading3"/>
        <w:bidi w:val="0"/>
        <w:jc w:val="start"/>
        <w:rPr/>
      </w:pPr>
      <w:r>
        <w:rPr>
          <w:rStyle w:val="Emphasis"/>
        </w:rPr>
        <w:t>Why It Works</w:t>
      </w:r>
    </w:p>
    <w:p>
      <w:pPr>
        <w:pStyle w:val="BodyText"/>
        <w:bidi w:val="0"/>
        <w:jc w:val="start"/>
        <w:rPr/>
      </w:pPr>
      <w:r>
        <w:rPr/>
        <w:t>People follow the crowd—even if the crowd is fictional. Horror movies use this to make characters (and audiences) ignore logic. In real life, it’s used to build trust or pressure conformity.</w:t>
      </w:r>
    </w:p>
    <w:p>
      <w:pPr>
        <w:pStyle w:val="Heading3"/>
        <w:bidi w:val="0"/>
        <w:jc w:val="start"/>
        <w:rPr/>
      </w:pPr>
      <w:r>
        <w:rPr>
          <w:rStyle w:val="Emphasis"/>
        </w:rPr>
        <w:t>Example in Horror</w:t>
      </w:r>
    </w:p>
    <w:p>
      <w:pPr>
        <w:pStyle w:val="BodyText"/>
        <w:numPr>
          <w:ilvl w:val="0"/>
          <w:numId w:val="3"/>
        </w:numPr>
        <w:tabs>
          <w:tab w:val="clear" w:pos="709"/>
          <w:tab w:val="left" w:pos="709" w:leader="none"/>
        </w:tabs>
        <w:bidi w:val="0"/>
        <w:ind w:hanging="283" w:start="709"/>
        <w:jc w:val="start"/>
        <w:rPr/>
      </w:pPr>
      <w:r>
        <w:rPr>
          <w:rStyle w:val="Strong"/>
        </w:rPr>
        <w:t>"The Ring"</w:t>
      </w:r>
      <w:r>
        <w:rPr/>
        <w:t xml:space="preserve">: The cursed tape spreads because people </w:t>
      </w:r>
      <w:r>
        <w:rPr>
          <w:rStyle w:val="Emphasis"/>
        </w:rPr>
        <w:t>copy</w:t>
      </w:r>
      <w:r>
        <w:rPr/>
        <w:t xml:space="preserve"> it, not because they want to.</w:t>
      </w:r>
    </w:p>
    <w:p>
      <w:pPr>
        <w:pStyle w:val="BodyText"/>
        <w:numPr>
          <w:ilvl w:val="0"/>
          <w:numId w:val="3"/>
        </w:numPr>
        <w:tabs>
          <w:tab w:val="clear" w:pos="709"/>
          <w:tab w:val="left" w:pos="709" w:leader="none"/>
        </w:tabs>
        <w:bidi w:val="0"/>
        <w:ind w:hanging="283" w:start="709"/>
        <w:jc w:val="start"/>
        <w:rPr/>
      </w:pPr>
      <w:r>
        <w:rPr>
          <w:rStyle w:val="Strong"/>
        </w:rPr>
        <w:t>"Get Out"</w:t>
      </w:r>
      <w:r>
        <w:rPr/>
        <w:t>: The cult’s power comes from everyone acting "normal" while something sinister unfolds.</w:t>
      </w:r>
    </w:p>
    <w:p>
      <w:pPr>
        <w:pStyle w:val="Heading3"/>
        <w:bidi w:val="0"/>
        <w:jc w:val="start"/>
        <w:rPr/>
      </w:pPr>
      <w:r>
        <w:rPr>
          <w:rStyle w:val="Emphasis"/>
        </w:rPr>
        <w:t>Real-Life Use</w:t>
      </w:r>
    </w:p>
    <w:p>
      <w:pPr>
        <w:pStyle w:val="BodyText"/>
        <w:numPr>
          <w:ilvl w:val="0"/>
          <w:numId w:val="4"/>
        </w:numPr>
        <w:tabs>
          <w:tab w:val="clear" w:pos="709"/>
          <w:tab w:val="left" w:pos="709" w:leader="none"/>
        </w:tabs>
        <w:bidi w:val="0"/>
        <w:ind w:hanging="283" w:start="709"/>
        <w:jc w:val="start"/>
        <w:rPr/>
      </w:pPr>
      <w:r>
        <w:rPr>
          <w:rStyle w:val="Strong"/>
        </w:rPr>
        <w:t>Reviews/Testimonials</w:t>
      </w:r>
      <w:r>
        <w:rPr/>
        <w:t>: "10,000 people love this product!" (Even if the product is mediocre.)</w:t>
      </w:r>
    </w:p>
    <w:p>
      <w:pPr>
        <w:pStyle w:val="BodyText"/>
        <w:numPr>
          <w:ilvl w:val="0"/>
          <w:numId w:val="4"/>
        </w:numPr>
        <w:tabs>
          <w:tab w:val="clear" w:pos="709"/>
          <w:tab w:val="left" w:pos="709" w:leader="none"/>
        </w:tabs>
        <w:bidi w:val="0"/>
        <w:ind w:hanging="283" w:start="709"/>
        <w:jc w:val="start"/>
        <w:rPr/>
      </w:pPr>
      <w:r>
        <w:rPr>
          <w:rStyle w:val="Strong"/>
        </w:rPr>
        <w:t>Peer Pressure</w:t>
      </w:r>
      <w:r>
        <w:rPr/>
        <w:t>: "Everyone’s doing it…" (Used in sales, social media, and even cults.)</w:t>
      </w:r>
    </w:p>
    <w:p>
      <w:pPr>
        <w:pStyle w:val="Heading3"/>
        <w:bidi w:val="0"/>
        <w:jc w:val="start"/>
        <w:rPr/>
      </w:pPr>
      <w:r>
        <w:rPr>
          <w:rStyle w:val="Emphasis"/>
        </w:rPr>
        <w:t>How to Resist</w:t>
      </w:r>
    </w:p>
    <w:p>
      <w:pPr>
        <w:pStyle w:val="BodyText"/>
        <w:bidi w:val="0"/>
        <w:jc w:val="start"/>
        <w:rPr/>
      </w:pPr>
      <w:r>
        <w:rPr/>
        <w:t xml:space="preserve">Ask: </w:t>
      </w:r>
      <w:r>
        <w:rPr>
          <w:rStyle w:val="Emphasis"/>
        </w:rPr>
        <w:t>"Would I still want this if no one else did?"</w:t>
      </w:r>
    </w:p>
    <w:p>
      <w:pPr>
        <w:pStyle w:val="HorizontalLine"/>
        <w:bidi w:val="0"/>
        <w:jc w:val="start"/>
        <w:rPr/>
      </w:pPr>
      <w:r>
        <w:rPr/>
      </w:r>
    </w:p>
    <w:p>
      <w:pPr>
        <w:pStyle w:val="Heading2"/>
        <w:bidi w:val="0"/>
        <w:jc w:val="start"/>
        <w:rPr/>
      </w:pPr>
      <w:r>
        <w:rPr>
          <w:rStyle w:val="Strong"/>
          <w:b/>
          <w:bCs/>
        </w:rPr>
        <w:t>Tactic 3: Anchoring (The First Impression Trap)</w:t>
      </w:r>
    </w:p>
    <w:p>
      <w:pPr>
        <w:pStyle w:val="Heading3"/>
        <w:bidi w:val="0"/>
        <w:jc w:val="start"/>
        <w:rPr/>
      </w:pPr>
      <w:r>
        <w:rPr>
          <w:rStyle w:val="Emphasis"/>
        </w:rPr>
        <w:t>Why It Works</w:t>
      </w:r>
    </w:p>
    <w:p>
      <w:pPr>
        <w:pStyle w:val="BodyText"/>
        <w:bidi w:val="0"/>
        <w:jc w:val="start"/>
        <w:rPr/>
      </w:pPr>
      <w:r>
        <w:rPr/>
        <w:t>The first piece of information you receive becomes your "anchor." Horror movies use this to set expectations (e.g., a "safe" scene before a jump scare). In real life, it’s used to frame decisions.</w:t>
      </w:r>
    </w:p>
    <w:p>
      <w:pPr>
        <w:pStyle w:val="Heading3"/>
        <w:bidi w:val="0"/>
        <w:jc w:val="start"/>
        <w:rPr/>
      </w:pPr>
      <w:r>
        <w:rPr>
          <w:rStyle w:val="Emphasis"/>
        </w:rPr>
        <w:t>Example in Horror</w:t>
      </w:r>
    </w:p>
    <w:p>
      <w:pPr>
        <w:pStyle w:val="BodyText"/>
        <w:numPr>
          <w:ilvl w:val="0"/>
          <w:numId w:val="5"/>
        </w:numPr>
        <w:tabs>
          <w:tab w:val="clear" w:pos="709"/>
          <w:tab w:val="left" w:pos="709" w:leader="none"/>
        </w:tabs>
        <w:bidi w:val="0"/>
        <w:ind w:hanging="283" w:start="709"/>
        <w:jc w:val="start"/>
        <w:rPr/>
      </w:pPr>
      <w:r>
        <w:rPr>
          <w:rStyle w:val="Strong"/>
        </w:rPr>
        <w:t>"Psycho"</w:t>
      </w:r>
      <w:r>
        <w:rPr/>
        <w:t>: The peaceful motel scene anchors your expectations—then the shower scene shatters them.</w:t>
      </w:r>
    </w:p>
    <w:p>
      <w:pPr>
        <w:pStyle w:val="BodyText"/>
        <w:numPr>
          <w:ilvl w:val="0"/>
          <w:numId w:val="5"/>
        </w:numPr>
        <w:tabs>
          <w:tab w:val="clear" w:pos="709"/>
          <w:tab w:val="left" w:pos="709" w:leader="none"/>
        </w:tabs>
        <w:bidi w:val="0"/>
        <w:ind w:hanging="283" w:start="709"/>
        <w:jc w:val="start"/>
        <w:rPr/>
      </w:pPr>
      <w:r>
        <w:rPr>
          <w:rStyle w:val="Strong"/>
        </w:rPr>
        <w:t>"Hereditary"</w:t>
      </w:r>
      <w:r>
        <w:rPr/>
        <w:t>: The family’s "normal" life makes the horror hits harder.</w:t>
      </w:r>
    </w:p>
    <w:p>
      <w:pPr>
        <w:pStyle w:val="Heading3"/>
        <w:bidi w:val="0"/>
        <w:jc w:val="start"/>
        <w:rPr/>
      </w:pPr>
      <w:r>
        <w:rPr>
          <w:rStyle w:val="Emphasis"/>
        </w:rPr>
        <w:t>Real-Life Use</w:t>
      </w:r>
    </w:p>
    <w:p>
      <w:pPr>
        <w:pStyle w:val="BodyText"/>
        <w:numPr>
          <w:ilvl w:val="0"/>
          <w:numId w:val="6"/>
        </w:numPr>
        <w:tabs>
          <w:tab w:val="clear" w:pos="709"/>
          <w:tab w:val="left" w:pos="709" w:leader="none"/>
        </w:tabs>
        <w:bidi w:val="0"/>
        <w:ind w:hanging="283" w:start="709"/>
        <w:jc w:val="start"/>
        <w:rPr/>
      </w:pPr>
      <w:r>
        <w:rPr>
          <w:rStyle w:val="Strong"/>
        </w:rPr>
        <w:t>Pricing</w:t>
      </w:r>
      <w:r>
        <w:rPr/>
        <w:t>: "This car is $50,000… but today it’s $30,000!" (The $50K anchor makes $30K seem like a steal.)</w:t>
      </w:r>
    </w:p>
    <w:p>
      <w:pPr>
        <w:pStyle w:val="BodyText"/>
        <w:numPr>
          <w:ilvl w:val="0"/>
          <w:numId w:val="6"/>
        </w:numPr>
        <w:tabs>
          <w:tab w:val="clear" w:pos="709"/>
          <w:tab w:val="left" w:pos="709" w:leader="none"/>
        </w:tabs>
        <w:bidi w:val="0"/>
        <w:ind w:hanging="283" w:start="709"/>
        <w:jc w:val="start"/>
        <w:rPr/>
      </w:pPr>
      <w:r>
        <w:rPr>
          <w:rStyle w:val="Strong"/>
        </w:rPr>
        <w:t>Negotiations</w:t>
      </w:r>
      <w:r>
        <w:rPr/>
        <w:t>: Starting with an extreme offer to make the real offer seem reasonable.</w:t>
      </w:r>
    </w:p>
    <w:p>
      <w:pPr>
        <w:pStyle w:val="Heading3"/>
        <w:bidi w:val="0"/>
        <w:jc w:val="start"/>
        <w:rPr/>
      </w:pPr>
      <w:r>
        <w:rPr>
          <w:rStyle w:val="Emphasis"/>
        </w:rPr>
        <w:t>How to Resist</w:t>
      </w:r>
    </w:p>
    <w:p>
      <w:pPr>
        <w:pStyle w:val="BodyText"/>
        <w:bidi w:val="0"/>
        <w:jc w:val="start"/>
        <w:rPr/>
      </w:pPr>
      <w:r>
        <w:rPr/>
        <w:t xml:space="preserve">Ask: </w:t>
      </w:r>
      <w:r>
        <w:rPr>
          <w:rStyle w:val="Emphasis"/>
        </w:rPr>
        <w:t>"Is this comparison fair, or is it designed to manipulate me?"</w:t>
      </w:r>
    </w:p>
    <w:p>
      <w:pPr>
        <w:pStyle w:val="HorizontalLine"/>
        <w:bidi w:val="0"/>
        <w:jc w:val="start"/>
        <w:rPr/>
      </w:pPr>
      <w:r>
        <w:rPr/>
      </w:r>
    </w:p>
    <w:p>
      <w:pPr>
        <w:pStyle w:val="Heading2"/>
        <w:bidi w:val="0"/>
        <w:jc w:val="start"/>
        <w:rPr/>
      </w:pPr>
      <w:r>
        <w:rPr>
          <w:rStyle w:val="Strong"/>
          <w:b/>
          <w:bCs/>
        </w:rPr>
        <w:t>Your Dark Psychology Cheat Sheet</w:t>
      </w:r>
    </w:p>
    <w:tbl>
      <w:tblPr>
        <w:tblW w:w="9972" w:type="dxa"/>
        <w:jc w:val="start"/>
        <w:tblInd w:w="0" w:type="dxa"/>
        <w:tblLayout w:type="fixed"/>
        <w:tblCellMar>
          <w:top w:w="28" w:type="dxa"/>
          <w:start w:w="28" w:type="dxa"/>
          <w:bottom w:w="28" w:type="dxa"/>
          <w:end w:w="28" w:type="dxa"/>
        </w:tblCellMar>
      </w:tblPr>
      <w:tblGrid>
        <w:gridCol w:w="2026"/>
        <w:gridCol w:w="2374"/>
        <w:gridCol w:w="2549"/>
        <w:gridCol w:w="3023"/>
      </w:tblGrid>
      <w:tr>
        <w:trPr/>
        <w:tc>
          <w:tcPr>
            <w:tcW w:w="2026" w:type="dxa"/>
            <w:tcBorders/>
            <w:vAlign w:val="center"/>
          </w:tcPr>
          <w:p>
            <w:pPr>
              <w:pStyle w:val="TableHeading"/>
              <w:bidi w:val="0"/>
              <w:spacing w:before="0" w:after="283"/>
              <w:rPr/>
            </w:pPr>
            <w:r>
              <w:rPr/>
              <w:t>Tactic</w:t>
            </w:r>
          </w:p>
        </w:tc>
        <w:tc>
          <w:tcPr>
            <w:tcW w:w="2374" w:type="dxa"/>
            <w:tcBorders/>
            <w:vAlign w:val="center"/>
          </w:tcPr>
          <w:p>
            <w:pPr>
              <w:pStyle w:val="TableHeading"/>
              <w:bidi w:val="0"/>
              <w:spacing w:before="0" w:after="283"/>
              <w:rPr/>
            </w:pPr>
            <w:r>
              <w:rPr/>
              <w:t>Horror Example</w:t>
            </w:r>
          </w:p>
        </w:tc>
        <w:tc>
          <w:tcPr>
            <w:tcW w:w="2549" w:type="dxa"/>
            <w:tcBorders/>
            <w:vAlign w:val="center"/>
          </w:tcPr>
          <w:p>
            <w:pPr>
              <w:pStyle w:val="TableHeading"/>
              <w:bidi w:val="0"/>
              <w:spacing w:before="0" w:after="283"/>
              <w:rPr/>
            </w:pPr>
            <w:r>
              <w:rPr/>
              <w:t>Real-Life Example</w:t>
            </w:r>
          </w:p>
        </w:tc>
        <w:tc>
          <w:tcPr>
            <w:tcW w:w="3023" w:type="dxa"/>
            <w:tcBorders/>
            <w:vAlign w:val="center"/>
          </w:tcPr>
          <w:p>
            <w:pPr>
              <w:pStyle w:val="TableHeading"/>
              <w:bidi w:val="0"/>
              <w:spacing w:before="0" w:after="283"/>
              <w:rPr/>
            </w:pPr>
            <w:r>
              <w:rPr/>
              <w:t>How to Resist</w:t>
            </w:r>
          </w:p>
        </w:tc>
      </w:tr>
      <w:tr>
        <w:trPr/>
        <w:tc>
          <w:tcPr>
            <w:tcW w:w="2026" w:type="dxa"/>
            <w:tcBorders/>
            <w:vAlign w:val="center"/>
          </w:tcPr>
          <w:p>
            <w:pPr>
              <w:pStyle w:val="TableContents"/>
              <w:bidi w:val="0"/>
              <w:spacing w:before="0" w:after="283"/>
              <w:jc w:val="start"/>
              <w:rPr/>
            </w:pPr>
            <w:r>
              <w:rPr/>
              <w:t>Fear of the Unknown</w:t>
            </w:r>
          </w:p>
        </w:tc>
        <w:tc>
          <w:tcPr>
            <w:tcW w:w="2374" w:type="dxa"/>
            <w:tcBorders/>
            <w:vAlign w:val="center"/>
          </w:tcPr>
          <w:p>
            <w:pPr>
              <w:pStyle w:val="TableContents"/>
              <w:bidi w:val="0"/>
              <w:spacing w:before="0" w:after="283"/>
              <w:jc w:val="start"/>
              <w:rPr/>
            </w:pPr>
            <w:r>
              <w:rPr/>
              <w:t>"The Blair Witch Project"</w:t>
            </w:r>
          </w:p>
        </w:tc>
        <w:tc>
          <w:tcPr>
            <w:tcW w:w="2549" w:type="dxa"/>
            <w:tcBorders/>
            <w:vAlign w:val="center"/>
          </w:tcPr>
          <w:p>
            <w:pPr>
              <w:pStyle w:val="TableContents"/>
              <w:bidi w:val="0"/>
              <w:spacing w:before="0" w:after="283"/>
              <w:jc w:val="start"/>
              <w:rPr/>
            </w:pPr>
            <w:r>
              <w:rPr/>
              <w:t>"Limited-time offer!"</w:t>
            </w:r>
          </w:p>
        </w:tc>
        <w:tc>
          <w:tcPr>
            <w:tcW w:w="3023" w:type="dxa"/>
            <w:tcBorders/>
            <w:vAlign w:val="center"/>
          </w:tcPr>
          <w:p>
            <w:pPr>
              <w:pStyle w:val="TableContents"/>
              <w:bidi w:val="0"/>
              <w:spacing w:before="0" w:after="283"/>
              <w:jc w:val="start"/>
              <w:rPr/>
            </w:pPr>
            <w:r>
              <w:rPr/>
              <w:t>Demand facts, not hype.</w:t>
            </w:r>
          </w:p>
        </w:tc>
      </w:tr>
      <w:tr>
        <w:trPr/>
        <w:tc>
          <w:tcPr>
            <w:tcW w:w="2026" w:type="dxa"/>
            <w:tcBorders/>
            <w:vAlign w:val="center"/>
          </w:tcPr>
          <w:p>
            <w:pPr>
              <w:pStyle w:val="TableContents"/>
              <w:bidi w:val="0"/>
              <w:spacing w:before="0" w:after="283"/>
              <w:jc w:val="start"/>
              <w:rPr/>
            </w:pPr>
            <w:r>
              <w:rPr/>
              <w:t>Social Proof</w:t>
            </w:r>
          </w:p>
        </w:tc>
        <w:tc>
          <w:tcPr>
            <w:tcW w:w="2374" w:type="dxa"/>
            <w:tcBorders/>
            <w:vAlign w:val="center"/>
          </w:tcPr>
          <w:p>
            <w:pPr>
              <w:pStyle w:val="TableContents"/>
              <w:bidi w:val="0"/>
              <w:spacing w:before="0" w:after="283"/>
              <w:jc w:val="start"/>
              <w:rPr/>
            </w:pPr>
            <w:r>
              <w:rPr/>
              <w:t>"The Ring"</w:t>
            </w:r>
          </w:p>
        </w:tc>
        <w:tc>
          <w:tcPr>
            <w:tcW w:w="2549" w:type="dxa"/>
            <w:tcBorders/>
            <w:vAlign w:val="center"/>
          </w:tcPr>
          <w:p>
            <w:pPr>
              <w:pStyle w:val="TableContents"/>
              <w:bidi w:val="0"/>
              <w:spacing w:before="0" w:after="283"/>
              <w:jc w:val="start"/>
              <w:rPr/>
            </w:pPr>
            <w:r>
              <w:rPr/>
              <w:t>"10,000 happy customers!"</w:t>
            </w:r>
          </w:p>
        </w:tc>
        <w:tc>
          <w:tcPr>
            <w:tcW w:w="3023" w:type="dxa"/>
            <w:tcBorders/>
            <w:vAlign w:val="center"/>
          </w:tcPr>
          <w:p>
            <w:pPr>
              <w:pStyle w:val="TableContents"/>
              <w:bidi w:val="0"/>
              <w:spacing w:before="0" w:after="283"/>
              <w:jc w:val="start"/>
              <w:rPr/>
            </w:pPr>
            <w:r>
              <w:rPr/>
              <w:t>Ask: "Would I want this alone?"</w:t>
            </w:r>
          </w:p>
        </w:tc>
      </w:tr>
      <w:tr>
        <w:trPr/>
        <w:tc>
          <w:tcPr>
            <w:tcW w:w="2026" w:type="dxa"/>
            <w:tcBorders/>
            <w:vAlign w:val="center"/>
          </w:tcPr>
          <w:p>
            <w:pPr>
              <w:pStyle w:val="TableContents"/>
              <w:bidi w:val="0"/>
              <w:spacing w:before="0" w:after="283"/>
              <w:jc w:val="start"/>
              <w:rPr/>
            </w:pPr>
            <w:r>
              <w:rPr/>
              <w:t>Anchoring</w:t>
            </w:r>
          </w:p>
        </w:tc>
        <w:tc>
          <w:tcPr>
            <w:tcW w:w="2374" w:type="dxa"/>
            <w:tcBorders/>
            <w:vAlign w:val="center"/>
          </w:tcPr>
          <w:p>
            <w:pPr>
              <w:pStyle w:val="TableContents"/>
              <w:bidi w:val="0"/>
              <w:spacing w:before="0" w:after="283"/>
              <w:jc w:val="start"/>
              <w:rPr/>
            </w:pPr>
            <w:r>
              <w:rPr/>
              <w:t>"Psycho" shower scene</w:t>
            </w:r>
          </w:p>
        </w:tc>
        <w:tc>
          <w:tcPr>
            <w:tcW w:w="2549" w:type="dxa"/>
            <w:tcBorders/>
            <w:vAlign w:val="center"/>
          </w:tcPr>
          <w:p>
            <w:pPr>
              <w:pStyle w:val="TableContents"/>
              <w:bidi w:val="0"/>
              <w:spacing w:before="0" w:after="283"/>
              <w:jc w:val="start"/>
              <w:rPr/>
            </w:pPr>
            <w:r>
              <w:rPr/>
              <w:t>"$50K car now $30K!"</w:t>
            </w:r>
          </w:p>
        </w:tc>
        <w:tc>
          <w:tcPr>
            <w:tcW w:w="3023" w:type="dxa"/>
            <w:tcBorders/>
            <w:vAlign w:val="center"/>
          </w:tcPr>
          <w:p>
            <w:pPr>
              <w:pStyle w:val="TableContents"/>
              <w:bidi w:val="0"/>
              <w:spacing w:before="0" w:after="283"/>
              <w:jc w:val="start"/>
              <w:rPr/>
            </w:pPr>
            <w:r>
              <w:rPr/>
              <w:t>Compare to neutral benchmarks.</w:t>
            </w:r>
          </w:p>
        </w:tc>
      </w:tr>
    </w:tbl>
    <w:p>
      <w:pPr>
        <w:pStyle w:val="HorizontalLine"/>
        <w:bidi w:val="0"/>
        <w:jc w:val="start"/>
        <w:rPr/>
      </w:pPr>
      <w:r>
        <w:rPr/>
      </w:r>
    </w:p>
    <w:p>
      <w:pPr>
        <w:pStyle w:val="Heading2"/>
        <w:bidi w:val="0"/>
        <w:jc w:val="start"/>
        <w:rPr/>
      </w:pPr>
      <w:r>
        <w:rPr>
          <w:rStyle w:val="Strong"/>
          <w:b/>
          <w:bCs/>
        </w:rPr>
        <w:t>Call to Action</w:t>
      </w:r>
    </w:p>
    <w:p>
      <w:pPr>
        <w:pStyle w:val="Heading3"/>
        <w:bidi w:val="0"/>
        <w:jc w:val="start"/>
        <w:rPr/>
      </w:pPr>
      <w:r>
        <w:rPr>
          <w:rStyle w:val="Emphasis"/>
        </w:rPr>
        <w:t>Want More?</w:t>
      </w:r>
    </w:p>
    <w:p>
      <w:pPr>
        <w:pStyle w:val="BodyText"/>
        <w:bidi w:val="0"/>
        <w:jc w:val="start"/>
        <w:rPr/>
      </w:pPr>
      <w:r>
        <w:rPr/>
        <w:t xml:space="preserve">This is just the tip of the iceberg. </w:t>
      </w:r>
      <w:r>
        <w:rPr>
          <w:rStyle w:val="Strong"/>
        </w:rPr>
        <w:t>Join my email list</w:t>
      </w:r>
      <w:r>
        <w:rPr/>
        <w:t xml:space="preserve"> for:</w:t>
      </w:r>
    </w:p>
    <w:p>
      <w:pPr>
        <w:pStyle w:val="BodyText"/>
        <w:numPr>
          <w:ilvl w:val="0"/>
          <w:numId w:val="7"/>
        </w:numPr>
        <w:tabs>
          <w:tab w:val="clear" w:pos="709"/>
          <w:tab w:val="left" w:pos="709" w:leader="none"/>
        </w:tabs>
        <w:bidi w:val="0"/>
        <w:ind w:hanging="283" w:start="709"/>
        <w:jc w:val="start"/>
        <w:rPr/>
      </w:pPr>
      <w:r>
        <w:rPr/>
        <w:t>Deep dives into dark psychology in pop culture.</w:t>
      </w:r>
    </w:p>
    <w:p>
      <w:pPr>
        <w:pStyle w:val="BodyText"/>
        <w:numPr>
          <w:ilvl w:val="0"/>
          <w:numId w:val="7"/>
        </w:numPr>
        <w:tabs>
          <w:tab w:val="clear" w:pos="709"/>
          <w:tab w:val="left" w:pos="709" w:leader="none"/>
        </w:tabs>
        <w:bidi w:val="0"/>
        <w:ind w:hanging="283" w:start="709"/>
        <w:jc w:val="start"/>
        <w:rPr/>
      </w:pPr>
      <w:r>
        <w:rPr/>
        <w:t>Tips to ethically use (or defend against) these tactics.</w:t>
      </w:r>
    </w:p>
    <w:p>
      <w:pPr>
        <w:pStyle w:val="BodyText"/>
        <w:numPr>
          <w:ilvl w:val="0"/>
          <w:numId w:val="7"/>
        </w:numPr>
        <w:tabs>
          <w:tab w:val="clear" w:pos="709"/>
          <w:tab w:val="left" w:pos="709" w:leader="none"/>
        </w:tabs>
        <w:bidi w:val="0"/>
        <w:ind w:hanging="283" w:start="709"/>
        <w:jc w:val="start"/>
        <w:rPr/>
      </w:pPr>
      <w:r>
        <w:rPr/>
        <w:t>Exclusive content for horror fans and mind growth enthusiasts.</w:t>
      </w:r>
    </w:p>
    <w:p>
      <w:pPr>
        <w:pStyle w:val="BodyText"/>
        <w:bidi w:val="0"/>
        <w:jc w:val="start"/>
        <w:rPr/>
      </w:pPr>
      <w:r>
        <w:rPr>
          <w:rStyle w:val="Strong"/>
        </w:rPr>
        <w:t>Enter your email below to get the full guide (plus bonuses!)</w:t>
      </w:r>
    </w:p>
    <w:p>
      <w:pPr>
        <w:pStyle w:val="BodyText"/>
        <w:bidi w:val="0"/>
        <w:jc w:val="start"/>
        <w:rPr/>
      </w:pPr>
      <w:r>
        <w:rPr/>
        <w:t>[</w:t>
      </w:r>
      <w:r>
        <w:rPr>
          <w:rStyle w:val="Strong"/>
        </w:rPr>
        <w:t>Opt-in Form Placeholder</w:t>
      </w:r>
      <w:r>
        <w:rPr/>
        <w:t>]</w:t>
      </w:r>
    </w:p>
    <w:p>
      <w:pPr>
        <w:pStyle w:val="HorizontalLine"/>
        <w:bidi w:val="0"/>
        <w:jc w:val="start"/>
        <w:rPr/>
      </w:pPr>
      <w:r>
        <w:rPr/>
      </w:r>
    </w:p>
    <w:p>
      <w:pPr>
        <w:pStyle w:val="Heading2"/>
        <w:bidi w:val="0"/>
        <w:jc w:val="start"/>
        <w:rPr/>
      </w:pPr>
      <w:r>
        <w:rPr>
          <w:rStyle w:val="Strong"/>
          <w:b/>
          <w:bCs/>
        </w:rPr>
        <w:t>Final Note</w:t>
      </w:r>
    </w:p>
    <w:p>
      <w:pPr>
        <w:pStyle w:val="BodyText"/>
        <w:bidi w:val="0"/>
        <w:jc w:val="start"/>
        <w:rPr/>
      </w:pPr>
      <w:r>
        <w:rPr/>
        <w:t xml:space="preserve">Dark psychology isn’t inherently evil—it’s a tool. Use it to </w:t>
      </w:r>
      <w:r>
        <w:rPr>
          <w:rStyle w:val="Strong"/>
        </w:rPr>
        <w:t>understand human behavior</w:t>
      </w:r>
      <w:r>
        <w:rPr/>
        <w:t>, create compelling stories, or protect yourself from manipulation.</w:t>
      </w:r>
    </w:p>
    <w:p>
      <w:pPr>
        <w:pStyle w:val="Normal"/>
        <w:bidi w:val="0"/>
        <w:jc w:val="star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Songti SC" w:cs="Arial Unicode MS"/>
      <w:b/>
      <w:bCs/>
      <w:sz w:val="48"/>
      <w:szCs w:val="48"/>
    </w:rPr>
  </w:style>
  <w:style w:type="paragraph" w:styleId="Heading2">
    <w:name w:val="heading 2"/>
    <w:basedOn w:val="Heading"/>
    <w:next w:val="BodyText"/>
    <w:qFormat/>
    <w:pPr>
      <w:spacing w:before="200" w:after="120"/>
      <w:outlineLvl w:val="1"/>
    </w:pPr>
    <w:rPr>
      <w:rFonts w:ascii="Liberation Serif" w:hAnsi="Liberation Serif" w:eastAsia="Songti SC" w:cs="Arial Unicode MS"/>
      <w:b/>
      <w:bCs/>
      <w:sz w:val="36"/>
      <w:szCs w:val="36"/>
    </w:rPr>
  </w:style>
  <w:style w:type="paragraph" w:styleId="Heading3">
    <w:name w:val="heading 3"/>
    <w:basedOn w:val="Heading"/>
    <w:next w:val="BodyText"/>
    <w:qFormat/>
    <w:pPr>
      <w:spacing w:before="140" w:after="120"/>
      <w:outlineLvl w:val="2"/>
    </w:pPr>
    <w:rPr>
      <w:rFonts w:ascii="Liberation Serif" w:hAnsi="Liberation Serif" w:eastAsia="Songti SC" w:cs="Arial Unicode MS"/>
      <w:b/>
      <w:bCs/>
      <w:sz w:val="28"/>
      <w:szCs w:val="28"/>
    </w:rPr>
  </w:style>
  <w:style w:type="character" w:styleId="Strong">
    <w:name w:val="Strong"/>
    <w:qFormat/>
    <w:rPr>
      <w:b/>
      <w:bCs/>
    </w:rPr>
  </w:style>
  <w:style w:type="character" w:styleId="Emphasis">
    <w:name w:val="Emphasis"/>
    <w:qFormat/>
    <w:rPr>
      <w:i/>
      <w:iCs/>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LibreOffice/25.2.5.2$MacOSX_AARCH64 LibreOffice_project/03d19516eb2e1dd5d4ccd751a0d6f35f35e08022</Application>
  <AppVersion>15.0000</AppVersion>
  <Pages>3</Pages>
  <Words>582</Words>
  <Characters>2958</Characters>
  <CharactersWithSpaces>3454</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2026-03-27T17:31:02Z</dcterms:created>
  <dc:creator/>
  <dc:description/>
  <dc:language>en-US</dc:language>
  <cp:lastModifiedBy/>
  <dcterms:modified xsi:type="dcterms:W3CDTF">2026-03-27T17:32:10Z</dcterms:modified>
  <cp:revision>1</cp:revision>
  <dc:subject/>
  <dc:title/>
</cp:coreProperties>
</file>