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before="300"/>
      </w:pPr>
      <w:r>
        <w:rPr>
          <w:rFonts w:ascii="Arial" w:cs="Arial" w:eastAsia="Arial" w:hAnsi="Arial"/>
          <w:b/>
          <w:bCs/>
          <w:sz w:val="32"/>
          <w:szCs w:val="32"/>
        </w:rPr>
        <w:t xml:space="preserve">Template 13: Health Insurance — Mental Health Parity Appeal</w:t>
      </w:r>
    </w:p>
    <w:p>
      <w:pPr>
        <w:spacing w:after="160"/>
        <w:jc w:val="left"/>
      </w:pPr>
      <w:r>
        <w:rPr>
          <w:rFonts w:ascii="Arial" w:cs="Arial" w:eastAsia="Arial" w:hAnsi="Arial"/>
          <w:b/>
          <w:bCs/>
          <w:sz w:val="22"/>
          <w:szCs w:val="22"/>
        </w:rPr>
        <w:t xml:space="preserve">WHEN TO USE THIS TEMPLATE:</w:t>
      </w:r>
    </w:p>
    <w:p>
      <w:pPr>
        <w:spacing w:after="160"/>
        <w:jc w:val="left"/>
      </w:pPr>
      <w:r>
        <w:rPr>
          <w:rFonts w:ascii="Arial" w:cs="Arial" w:eastAsia="Arial" w:hAnsi="Arial"/>
          <w:i/>
          <w:iCs/>
          <w:color w:val="666666"/>
          <w:sz w:val="22"/>
          <w:szCs w:val="22"/>
        </w:rPr>
        <w:t xml:space="preserve">Your insurer denied or limited coverage for mental health or substance use disorder treatment in a way that would not apply to a comparable medical/surgical condition. This includes visit limits, higher copays, stricter prior auth requirements, or more restrictive medical necessity criteria for mental health vs. physical health.</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WHY THIS WORKS: </w:t>
      </w:r>
      <w:r>
        <w:rPr>
          <w:rFonts w:ascii="Arial" w:cs="Arial" w:eastAsia="Arial" w:hAnsi="Arial"/>
          <w:sz w:val="22"/>
          <w:szCs w:val="22"/>
        </w:rPr>
        <w:t xml:space="preserve">The Mental Health Parity and Addiction Equity Act (MHPAEA, 29 USC § 1185a) requires insurers to cover mental health and substance use disorder services at parity with medical/surgical benefits. If the insurer would cover the equivalent physical health treatment, they must cover the mental health treatment on equal terms. Parity violations are among the most common and most successfully appealed insurance denials.</w:t>
      </w:r>
    </w:p>
    <w:p>
      <w:pPr>
        <w:spacing w:after="160"/>
        <w:jc w:val="left"/>
      </w:pPr>
      <w:r>
        <w:rPr>
          <w:rFonts w:ascii="Arial" w:cs="Arial" w:eastAsia="Arial" w:hAnsi="Arial"/>
          <w:sz w:val="22"/>
          <w:szCs w:val="22"/>
        </w:rPr>
        <w:t xml:space="preserve"/>
      </w:r>
    </w:p>
    <w:p>
      <w:pPr>
        <w:spacing w:after="160"/>
        <w:jc w:val="center"/>
      </w:pPr>
      <w:r>
        <w:rPr>
          <w:rFonts w:ascii="Arial" w:cs="Arial" w:eastAsia="Arial" w:hAnsi="Arial"/>
          <w:color w:val="888888"/>
          <w:sz w:val="18"/>
          <w:szCs w:val="18"/>
        </w:rPr>
        <w:t xml:space="preserve">─── LETTER BEGINS BELOW ───</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Full Name]</w:t>
      </w:r>
    </w:p>
    <w:p>
      <w:pPr>
        <w:spacing w:after="160"/>
        <w:jc w:val="left"/>
      </w:pPr>
      <w:r>
        <w:rPr>
          <w:rFonts w:ascii="Arial" w:cs="Arial" w:eastAsia="Arial" w:hAnsi="Arial"/>
          <w:b/>
          <w:bCs/>
          <w:color w:val="2D6CDF"/>
          <w:sz w:val="22"/>
          <w:szCs w:val="22"/>
        </w:rPr>
        <w:t xml:space="preserve">[Your 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b/>
          <w:bCs/>
          <w:color w:val="2D6CDF"/>
          <w:sz w:val="22"/>
          <w:szCs w:val="22"/>
        </w:rPr>
        <w:t xml:space="preserve">[Your Phone Number]</w:t>
      </w:r>
    </w:p>
    <w:p>
      <w:pPr>
        <w:spacing w:after="160"/>
        <w:jc w:val="left"/>
      </w:pPr>
      <w:r>
        <w:rPr>
          <w:rFonts w:ascii="Arial" w:cs="Arial" w:eastAsia="Arial" w:hAnsi="Arial"/>
          <w:b/>
          <w:bCs/>
          <w:color w:val="2D6CDF"/>
          <w:sz w:val="22"/>
          <w:szCs w:val="22"/>
        </w:rPr>
        <w:t xml:space="preserve">[Your Email Address]</w:t>
      </w:r>
    </w:p>
    <w:p>
      <w:pPr>
        <w:spacing w:after="160"/>
        <w:jc w:val="left"/>
      </w:pPr>
      <w:r>
        <w:rPr>
          <w:rFonts w:ascii="Arial" w:cs="Arial" w:eastAsia="Arial" w:hAnsi="Arial"/>
          <w:b/>
          <w:bCs/>
          <w:color w:val="2D6CDF"/>
          <w:sz w:val="22"/>
          <w:szCs w:val="22"/>
        </w:rPr>
        <w:t xml:space="preserve">[Today's Date]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[Insurance Company Name]</w:t>
      </w:r>
    </w:p>
    <w:p>
      <w:pPr>
        <w:spacing w:after="160"/>
        <w:jc w:val="left"/>
      </w:pPr>
      <w:r>
        <w:rPr>
          <w:rFonts w:ascii="Arial" w:cs="Arial" w:eastAsia="Arial" w:hAnsi="Arial"/>
          <w:b/>
          <w:bCs/>
          <w:color w:val="2D6CDF"/>
          <w:sz w:val="22"/>
          <w:szCs w:val="22"/>
        </w:rPr>
        <w:t xml:space="preserve">[Department]</w:t>
      </w:r>
    </w:p>
    <w:p>
      <w:pPr>
        <w:spacing w:after="160"/>
        <w:jc w:val="left"/>
      </w:pPr>
      <w:r>
        <w:rPr>
          <w:rFonts w:ascii="Arial" w:cs="Arial" w:eastAsia="Arial" w:hAnsi="Arial"/>
          <w:b/>
          <w:bCs/>
          <w:color w:val="2D6CDF"/>
          <w:sz w:val="22"/>
          <w:szCs w:val="22"/>
        </w:rPr>
        <w:t xml:space="preserve">[Street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sz w:val="22"/>
          <w:szCs w:val="22"/>
        </w:rPr>
        <w:t xml:space="preserve"/>
      </w:r>
    </w:p>
    <w:p>
      <w:pPr>
        <w:spacing w:after="240"/>
        <w:jc w:val="left"/>
      </w:pPr>
      <w:r>
        <w:rPr>
          <w:rFonts w:ascii="Arial" w:cs="Arial" w:eastAsia="Arial" w:hAnsi="Arial"/>
          <w:b/>
          <w:bCs/>
          <w:sz w:val="22"/>
          <w:szCs w:val="22"/>
        </w:rPr>
        <w:t xml:space="preserve">RE: </w:t>
      </w:r>
      <w:r>
        <w:rPr>
          <w:rFonts w:ascii="Arial" w:cs="Arial" w:eastAsia="Arial" w:hAnsi="Arial"/>
          <w:sz w:val="22"/>
          <w:szCs w:val="22"/>
        </w:rPr>
        <w:t xml:space="preserve">FORMAL APPEAL — Mental Health Parity Violation</w:t>
      </w:r>
      <w:r>
        <w:rPr>
          <w:rFonts w:ascii="Arial" w:cs="Arial" w:eastAsia="Arial" w:hAnsi="Arial"/>
          <w:sz w:val="22"/>
          <w:szCs w:val="22"/>
        </w:rPr>
        <w:t xml:space="preserve">
</w:t>
      </w:r>
      <w:r>
        <w:rPr>
          <w:rFonts w:ascii="Arial" w:cs="Arial" w:eastAsia="Arial" w:hAnsi="Arial"/>
          <w:sz w:val="22"/>
          <w:szCs w:val="22"/>
        </w:rPr>
        <w:t xml:space="preserve">
</w:t>
      </w:r>
      <w:r>
        <w:rPr>
          <w:rFonts w:ascii="Arial" w:cs="Arial" w:eastAsia="Arial" w:hAnsi="Arial"/>
          <w:b/>
          <w:bCs/>
          <w:sz w:val="22"/>
          <w:szCs w:val="22"/>
        </w:rPr>
        <w:t xml:space="preserve">Member Name: </w:t>
      </w:r>
      <w:r>
        <w:rPr>
          <w:rFonts w:ascii="Arial" w:cs="Arial" w:eastAsia="Arial" w:hAnsi="Arial"/>
          <w:b/>
          <w:bCs/>
          <w:color w:val="2D6CDF"/>
          <w:sz w:val="22"/>
          <w:szCs w:val="22"/>
        </w:rPr>
        <w:t xml:space="preserve">[Your Full Legal Name]</w:t>
      </w:r>
      <w:r>
        <w:rPr>
          <w:rFonts w:ascii="Arial" w:cs="Arial" w:eastAsia="Arial" w:hAnsi="Arial"/>
          <w:sz w:val="22"/>
          <w:szCs w:val="22"/>
        </w:rPr>
        <w:t xml:space="preserve">
</w:t>
      </w:r>
      <w:r>
        <w:rPr>
          <w:rFonts w:ascii="Arial" w:cs="Arial" w:eastAsia="Arial" w:hAnsi="Arial"/>
          <w:b/>
          <w:bCs/>
          <w:sz w:val="22"/>
          <w:szCs w:val="22"/>
        </w:rPr>
        <w:t xml:space="preserve">Member ID: </w:t>
      </w:r>
      <w:r>
        <w:rPr>
          <w:rFonts w:ascii="Arial" w:cs="Arial" w:eastAsia="Arial" w:hAnsi="Arial"/>
          <w:b/>
          <w:bCs/>
          <w:color w:val="2D6CDF"/>
          <w:sz w:val="22"/>
          <w:szCs w:val="22"/>
        </w:rPr>
        <w:t xml:space="preserve">[Your Insurance Member ID]</w:t>
      </w:r>
      <w:r>
        <w:rPr>
          <w:rFonts w:ascii="Arial" w:cs="Arial" w:eastAsia="Arial" w:hAnsi="Arial"/>
          <w:sz w:val="22"/>
          <w:szCs w:val="22"/>
        </w:rPr>
        <w:t xml:space="preserve">
</w:t>
      </w:r>
      <w:r>
        <w:rPr>
          <w:rFonts w:ascii="Arial" w:cs="Arial" w:eastAsia="Arial" w:hAnsi="Arial"/>
          <w:b/>
          <w:bCs/>
          <w:sz w:val="22"/>
          <w:szCs w:val="22"/>
        </w:rPr>
        <w:t xml:space="preserve">Claim Number: </w:t>
      </w:r>
      <w:r>
        <w:rPr>
          <w:rFonts w:ascii="Arial" w:cs="Arial" w:eastAsia="Arial" w:hAnsi="Arial"/>
          <w:b/>
          <w:bCs/>
          <w:color w:val="2D6CDF"/>
          <w:sz w:val="22"/>
          <w:szCs w:val="22"/>
        </w:rPr>
        <w:t xml:space="preserve">[Claim Number]</w:t>
      </w:r>
      <w:r>
        <w:rPr>
          <w:rFonts w:ascii="Arial" w:cs="Arial" w:eastAsia="Arial" w:hAnsi="Arial"/>
          <w:sz w:val="22"/>
          <w:szCs w:val="22"/>
        </w:rPr>
        <w:t xml:space="preserve">
</w:t>
      </w:r>
      <w:r>
        <w:rPr>
          <w:rFonts w:ascii="Arial" w:cs="Arial" w:eastAsia="Arial" w:hAnsi="Arial"/>
          <w:b/>
          <w:bCs/>
          <w:sz w:val="22"/>
          <w:szCs w:val="22"/>
        </w:rPr>
        <w:t xml:space="preserve">Date of Service: </w:t>
      </w:r>
      <w:r>
        <w:rPr>
          <w:rFonts w:ascii="Arial" w:cs="Arial" w:eastAsia="Arial" w:hAnsi="Arial"/>
          <w:b/>
          <w:bCs/>
          <w:color w:val="2D6CDF"/>
          <w:sz w:val="22"/>
          <w:szCs w:val="22"/>
        </w:rPr>
        <w:t xml:space="preserve">[MM/DD/YYYY]</w:t>
      </w:r>
      <w:r>
        <w:rPr>
          <w:rFonts w:ascii="Arial" w:cs="Arial" w:eastAsia="Arial" w:hAnsi="Arial"/>
          <w:sz w:val="22"/>
          <w:szCs w:val="22"/>
        </w:rPr>
        <w:t xml:space="preserve">
</w:t>
      </w:r>
      <w:r>
        <w:rPr>
          <w:rFonts w:ascii="Arial" w:cs="Arial" w:eastAsia="Arial" w:hAnsi="Arial"/>
          <w:b/>
          <w:bCs/>
          <w:sz w:val="22"/>
          <w:szCs w:val="22"/>
        </w:rPr>
        <w:t xml:space="preserve">Provider: </w:t>
      </w:r>
      <w:r>
        <w:rPr>
          <w:rFonts w:ascii="Arial" w:cs="Arial" w:eastAsia="Arial" w:hAnsi="Arial"/>
          <w:b/>
          <w:bCs/>
          <w:color w:val="2D6CDF"/>
          <w:sz w:val="22"/>
          <w:szCs w:val="22"/>
        </w:rPr>
        <w:t xml:space="preserve">[Therapist / Psychiatrist / Treatment Facility Name]</w:t>
      </w:r>
      <w:r>
        <w:rPr>
          <w:rFonts w:ascii="Arial" w:cs="Arial" w:eastAsia="Arial" w:hAnsi="Arial"/>
          <w:sz w:val="22"/>
          <w:szCs w:val="22"/>
        </w:rPr>
        <w:t xml:space="preserve">
</w:t>
      </w:r>
      <w:r>
        <w:rPr>
          <w:rFonts w:ascii="Arial" w:cs="Arial" w:eastAsia="Arial" w:hAnsi="Arial"/>
          <w:b/>
          <w:bCs/>
          <w:sz w:val="22"/>
          <w:szCs w:val="22"/>
        </w:rPr>
        <w:t xml:space="preserve">Denied Service: </w:t>
      </w:r>
      <w:r>
        <w:rPr>
          <w:rFonts w:ascii="Arial" w:cs="Arial" w:eastAsia="Arial" w:hAnsi="Arial"/>
          <w:b/>
          <w:bCs/>
          <w:color w:val="2D6CDF"/>
          <w:sz w:val="22"/>
          <w:szCs w:val="22"/>
        </w:rPr>
        <w:t xml:space="preserve">[Therapy sessions / Residential treatment / Medication / etc.]</w:t>
      </w:r>
      <w:r>
        <w:rPr>
          <w:rFonts w:ascii="Arial" w:cs="Arial" w:eastAsia="Arial" w:hAnsi="Arial"/>
          <w:sz w:val="22"/>
          <w:szCs w:val="22"/>
        </w:rPr>
        <w:t xml:space="preserve">
</w:t>
      </w:r>
      <w:r>
        <w:rPr>
          <w:rFonts w:ascii="Arial" w:cs="Arial" w:eastAsia="Arial" w:hAnsi="Arial"/>
          <w:b/>
          <w:bCs/>
          <w:sz w:val="22"/>
          <w:szCs w:val="22"/>
        </w:rPr>
        <w:t xml:space="preserve">Diagnosis: </w:t>
      </w:r>
      <w:r>
        <w:rPr>
          <w:rFonts w:ascii="Arial" w:cs="Arial" w:eastAsia="Arial" w:hAnsi="Arial"/>
          <w:b/>
          <w:bCs/>
          <w:color w:val="2D6CDF"/>
          <w:sz w:val="22"/>
          <w:szCs w:val="22"/>
        </w:rPr>
        <w:t xml:space="preserve">[Mental health or substance use disorder diagnosis]</w:t>
      </w:r>
    </w:p>
    <w:p>
      <w:pPr>
        <w:spacing w:after="160"/>
        <w:jc w:val="left"/>
      </w:pPr>
      <w:r>
        <w:rPr>
          <w:rFonts w:ascii="Arial" w:cs="Arial" w:eastAsia="Arial" w:hAnsi="Arial"/>
          <w:sz w:val="22"/>
          <w:szCs w:val="22"/>
        </w:rPr>
        <w:t xml:space="preserve">Dear Appeals Department: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am writing to formally appeal the denial of </w:t>
      </w:r>
      <w:r>
        <w:rPr>
          <w:rFonts w:ascii="Arial" w:cs="Arial" w:eastAsia="Arial" w:hAnsi="Arial"/>
          <w:b/>
          <w:bCs/>
          <w:color w:val="2D6CDF"/>
          <w:sz w:val="22"/>
          <w:szCs w:val="22"/>
        </w:rPr>
        <w:t xml:space="preserve">[service]</w:t>
      </w:r>
      <w:r>
        <w:rPr>
          <w:rFonts w:ascii="Arial" w:cs="Arial" w:eastAsia="Arial" w:hAnsi="Arial"/>
          <w:sz w:val="22"/>
          <w:szCs w:val="22"/>
        </w:rPr>
        <w:t xml:space="preserve"> for the treatment of </w:t>
      </w:r>
      <w:r>
        <w:rPr>
          <w:rFonts w:ascii="Arial" w:cs="Arial" w:eastAsia="Arial" w:hAnsi="Arial"/>
          <w:b/>
          <w:bCs/>
          <w:color w:val="2D6CDF"/>
          <w:sz w:val="22"/>
          <w:szCs w:val="22"/>
        </w:rPr>
        <w:t xml:space="preserve">[diagnosis]</w:t>
      </w:r>
      <w:r>
        <w:rPr>
          <w:rFonts w:ascii="Arial" w:cs="Arial" w:eastAsia="Arial" w:hAnsi="Arial"/>
          <w:sz w:val="22"/>
          <w:szCs w:val="22"/>
        </w:rPr>
        <w:t xml:space="preserve">. I believe this denial violates the Mental Health Parity and Addiction Equity Act (MHPAEA, 29 USC § 1185a) and its implementing regulations (45 CFR § 146.136).</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THE PARITY VIOLATION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[SELECT THE VIOLATION TYPE AND DELETE THE OTHERS:]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OPTION A — Visit/Session Limits:</w:t>
      </w:r>
    </w:p>
    <w:p>
      <w:pPr>
        <w:spacing w:after="160"/>
        <w:jc w:val="left"/>
      </w:pPr>
      <w:r>
        <w:rPr>
          <w:rFonts w:ascii="Arial" w:cs="Arial" w:eastAsia="Arial" w:hAnsi="Arial"/>
          <w:sz w:val="22"/>
          <w:szCs w:val="22"/>
        </w:rPr>
        <w:t xml:space="preserve">Your plan limits mental health visits to </w:t>
      </w:r>
      <w:r>
        <w:rPr>
          <w:rFonts w:ascii="Arial" w:cs="Arial" w:eastAsia="Arial" w:hAnsi="Arial"/>
          <w:b/>
          <w:bCs/>
          <w:color w:val="2D6CDF"/>
          <w:sz w:val="22"/>
          <w:szCs w:val="22"/>
        </w:rPr>
        <w:t xml:space="preserve">[number]</w:t>
      </w:r>
      <w:r>
        <w:rPr>
          <w:rFonts w:ascii="Arial" w:cs="Arial" w:eastAsia="Arial" w:hAnsi="Arial"/>
          <w:sz w:val="22"/>
          <w:szCs w:val="22"/>
        </w:rPr>
        <w:t xml:space="preserve"> per year, but does not impose equivalent visit limits on comparable medical/surgical benefits such as </w:t>
      </w:r>
      <w:r>
        <w:rPr>
          <w:rFonts w:ascii="Arial" w:cs="Arial" w:eastAsia="Arial" w:hAnsi="Arial"/>
          <w:b/>
          <w:bCs/>
          <w:color w:val="2D6CDF"/>
          <w:sz w:val="22"/>
          <w:szCs w:val="22"/>
        </w:rPr>
        <w:t xml:space="preserve">[physical therapy, chiropractic care, dialysis, cardiac rehab]</w:t>
      </w:r>
      <w:r>
        <w:rPr>
          <w:rFonts w:ascii="Arial" w:cs="Arial" w:eastAsia="Arial" w:hAnsi="Arial"/>
          <w:sz w:val="22"/>
          <w:szCs w:val="22"/>
        </w:rPr>
        <w:t xml:space="preserve">. Under MHPAEA, quantitative treatment limitations for mental health must be no more restrictive than those for medical/surgical benefits in the same classification.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OPTION B — More Restrictive Prior Authorization:</w:t>
      </w:r>
    </w:p>
    <w:p>
      <w:pPr>
        <w:spacing w:after="160"/>
        <w:jc w:val="left"/>
      </w:pPr>
      <w:r>
        <w:rPr>
          <w:rFonts w:ascii="Arial" w:cs="Arial" w:eastAsia="Arial" w:hAnsi="Arial"/>
          <w:sz w:val="22"/>
          <w:szCs w:val="22"/>
        </w:rPr>
        <w:t xml:space="preserve">Your plan requires prior authorization for </w:t>
      </w:r>
      <w:r>
        <w:rPr>
          <w:rFonts w:ascii="Arial" w:cs="Arial" w:eastAsia="Arial" w:hAnsi="Arial"/>
          <w:b/>
          <w:bCs/>
          <w:color w:val="2D6CDF"/>
          <w:sz w:val="22"/>
          <w:szCs w:val="22"/>
        </w:rPr>
        <w:t xml:space="preserve">[mental health service]</w:t>
      </w:r>
      <w:r>
        <w:rPr>
          <w:rFonts w:ascii="Arial" w:cs="Arial" w:eastAsia="Arial" w:hAnsi="Arial"/>
          <w:sz w:val="22"/>
          <w:szCs w:val="22"/>
        </w:rPr>
        <w:t xml:space="preserve"> but does not require prior authorization for comparable medical/surgical services such as </w:t>
      </w:r>
      <w:r>
        <w:rPr>
          <w:rFonts w:ascii="Arial" w:cs="Arial" w:eastAsia="Arial" w:hAnsi="Arial"/>
          <w:b/>
          <w:bCs/>
          <w:color w:val="2D6CDF"/>
          <w:sz w:val="22"/>
          <w:szCs w:val="22"/>
        </w:rPr>
        <w:t xml:space="preserve">[physical therapy, specialty referrals, outpatient surgery]</w:t>
      </w:r>
      <w:r>
        <w:rPr>
          <w:rFonts w:ascii="Arial" w:cs="Arial" w:eastAsia="Arial" w:hAnsi="Arial"/>
          <w:sz w:val="22"/>
          <w:szCs w:val="22"/>
        </w:rPr>
        <w:t xml:space="preserve">. This constitutes a non-quantitative treatment limitation (NQTL) that is more restrictive for mental health than for medical/surgical benefits.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OPTION C — Stricter Medical Necessity Criteria:</w:t>
      </w:r>
    </w:p>
    <w:p>
      <w:pPr>
        <w:spacing w:after="160"/>
        <w:jc w:val="left"/>
      </w:pPr>
      <w:r>
        <w:rPr>
          <w:rFonts w:ascii="Arial" w:cs="Arial" w:eastAsia="Arial" w:hAnsi="Arial"/>
          <w:sz w:val="22"/>
          <w:szCs w:val="22"/>
        </w:rPr>
        <w:t xml:space="preserve">The medical necessity criteria applied to deny </w:t>
      </w:r>
      <w:r>
        <w:rPr>
          <w:rFonts w:ascii="Arial" w:cs="Arial" w:eastAsia="Arial" w:hAnsi="Arial"/>
          <w:b/>
          <w:bCs/>
          <w:color w:val="2D6CDF"/>
          <w:sz w:val="22"/>
          <w:szCs w:val="22"/>
        </w:rPr>
        <w:t xml:space="preserve">[my mental health service]</w:t>
      </w:r>
      <w:r>
        <w:rPr>
          <w:rFonts w:ascii="Arial" w:cs="Arial" w:eastAsia="Arial" w:hAnsi="Arial"/>
          <w:sz w:val="22"/>
          <w:szCs w:val="22"/>
        </w:rPr>
        <w:t xml:space="preserve"> are more stringent than those applied to comparable medical/surgical services. Specifically, </w:t>
      </w:r>
      <w:r>
        <w:rPr>
          <w:rFonts w:ascii="Arial" w:cs="Arial" w:eastAsia="Arial" w:hAnsi="Arial"/>
          <w:b/>
          <w:bCs/>
          <w:color w:val="2D6CDF"/>
          <w:sz w:val="22"/>
          <w:szCs w:val="22"/>
        </w:rPr>
        <w:t xml:space="preserve">[describe the difference — e.g., 'you require documented failure of two medications before approving residential treatment, but do not require documented failure of conservative treatments before approving inpatient surgical care']</w:t>
      </w:r>
      <w:r>
        <w:rPr>
          <w:rFonts w:ascii="Arial" w:cs="Arial" w:eastAsia="Arial" w:hAnsi="Arial"/>
          <w:sz w:val="22"/>
          <w:szCs w:val="22"/>
        </w:rPr>
        <w:t xml:space="preserv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OPTION D — Higher Cost-Sharing:</w:t>
      </w:r>
    </w:p>
    <w:p>
      <w:pPr>
        <w:spacing w:after="160"/>
        <w:jc w:val="left"/>
      </w:pPr>
      <w:r>
        <w:rPr>
          <w:rFonts w:ascii="Arial" w:cs="Arial" w:eastAsia="Arial" w:hAnsi="Arial"/>
          <w:sz w:val="22"/>
          <w:szCs w:val="22"/>
        </w:rPr>
        <w:t xml:space="preserve">My plan charges a </w:t>
      </w:r>
      <w:r>
        <w:rPr>
          <w:rFonts w:ascii="Arial" w:cs="Arial" w:eastAsia="Arial" w:hAnsi="Arial"/>
          <w:b/>
          <w:bCs/>
          <w:color w:val="2D6CDF"/>
          <w:sz w:val="22"/>
          <w:szCs w:val="22"/>
        </w:rPr>
        <w:t xml:space="preserve">[$X copay / X% coinsurance]</w:t>
      </w:r>
      <w:r>
        <w:rPr>
          <w:rFonts w:ascii="Arial" w:cs="Arial" w:eastAsia="Arial" w:hAnsi="Arial"/>
          <w:sz w:val="22"/>
          <w:szCs w:val="22"/>
        </w:rPr>
        <w:t xml:space="preserve"> for mental health visits but only </w:t>
      </w:r>
      <w:r>
        <w:rPr>
          <w:rFonts w:ascii="Arial" w:cs="Arial" w:eastAsia="Arial" w:hAnsi="Arial"/>
          <w:b/>
          <w:bCs/>
          <w:color w:val="2D6CDF"/>
          <w:sz w:val="22"/>
          <w:szCs w:val="22"/>
        </w:rPr>
        <w:t xml:space="preserve">[$Y copay / Y% coinsurance]</w:t>
      </w:r>
      <w:r>
        <w:rPr>
          <w:rFonts w:ascii="Arial" w:cs="Arial" w:eastAsia="Arial" w:hAnsi="Arial"/>
          <w:sz w:val="22"/>
          <w:szCs w:val="22"/>
        </w:rPr>
        <w:t xml:space="preserve"> for comparable medical/surgical specialist visits. MHPAEA requires financial requirements for mental health benefits to be no more restrictive than for medical/surgical benefits.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REQUEST FOR COMPARATIVE ANALYSIS</w:t>
      </w:r>
    </w:p>
    <w:p>
      <w:pPr>
        <w:spacing w:after="160"/>
        <w:jc w:val="left"/>
      </w:pPr>
      <w:r>
        <w:rPr>
          <w:rFonts w:ascii="Arial" w:cs="Arial" w:eastAsia="Arial" w:hAnsi="Arial"/>
          <w:sz w:val="22"/>
          <w:szCs w:val="22"/>
        </w:rPr>
        <w:t xml:space="preserve">Pursuant to MHPAEA and 29 CFR § 2590.712, I request that you provide me with the specific medical necessity criteria, prior authorization requirements, and non-quantitative treatment limitations applied to this denial, AND the comparable criteria applied to analogous medical/surgical benefits. Insurers are required to provide this comparative analysis upon request.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SUPPORTING DOCUMENTATION</w:t>
      </w:r>
    </w:p>
    <w:p>
      <w:pPr>
        <w:spacing w:after="160"/>
        <w:jc w:val="left"/>
      </w:pPr>
      <w:r>
        <w:rPr>
          <w:rFonts w:ascii="Arial" w:cs="Arial" w:eastAsia="Arial" w:hAnsi="Arial"/>
          <w:sz w:val="22"/>
          <w:szCs w:val="22"/>
        </w:rPr>
        <w:t xml:space="preserve">1. Denial letter / EOB</w:t>
      </w:r>
    </w:p>
    <w:p>
      <w:pPr>
        <w:spacing w:after="160"/>
        <w:jc w:val="left"/>
      </w:pPr>
      <w:r>
        <w:rPr>
          <w:rFonts w:ascii="Arial" w:cs="Arial" w:eastAsia="Arial" w:hAnsi="Arial"/>
          <w:sz w:val="22"/>
          <w:szCs w:val="22"/>
        </w:rPr>
        <w:t xml:space="preserve">2. Letter from treating provider (Dr./therapist </w:t>
      </w:r>
      <w:r>
        <w:rPr>
          <w:rFonts w:ascii="Arial" w:cs="Arial" w:eastAsia="Arial" w:hAnsi="Arial"/>
          <w:b/>
          <w:bCs/>
          <w:color w:val="2D6CDF"/>
          <w:sz w:val="22"/>
          <w:szCs w:val="22"/>
        </w:rPr>
        <w:t xml:space="preserve">[Name]</w:t>
      </w:r>
      <w:r>
        <w:rPr>
          <w:rFonts w:ascii="Arial" w:cs="Arial" w:eastAsia="Arial" w:hAnsi="Arial"/>
          <w:sz w:val="22"/>
          <w:szCs w:val="22"/>
        </w:rPr>
        <w:t xml:space="preserve">) supporting medical necessity</w:t>
      </w:r>
    </w:p>
    <w:p>
      <w:pPr>
        <w:spacing w:after="160"/>
        <w:jc w:val="left"/>
      </w:pPr>
      <w:r>
        <w:rPr>
          <w:rFonts w:ascii="Arial" w:cs="Arial" w:eastAsia="Arial" w:hAnsi="Arial"/>
          <w:sz w:val="22"/>
          <w:szCs w:val="22"/>
        </w:rPr>
        <w:t xml:space="preserve">3. Treatment records</w:t>
      </w:r>
    </w:p>
    <w:p>
      <w:pPr>
        <w:spacing w:after="160"/>
        <w:jc w:val="left"/>
      </w:pPr>
      <w:r>
        <w:rPr>
          <w:rFonts w:ascii="Arial" w:cs="Arial" w:eastAsia="Arial" w:hAnsi="Arial"/>
          <w:sz w:val="22"/>
          <w:szCs w:val="22"/>
        </w:rPr>
        <w:t xml:space="preserve">4. Plan documents showing differential treatment limitations (if available)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request that you reverse this denial and provide coverage for </w:t>
      </w:r>
      <w:r>
        <w:rPr>
          <w:rFonts w:ascii="Arial" w:cs="Arial" w:eastAsia="Arial" w:hAnsi="Arial"/>
          <w:b/>
          <w:bCs/>
          <w:color w:val="2D6CDF"/>
          <w:sz w:val="22"/>
          <w:szCs w:val="22"/>
        </w:rPr>
        <w:t xml:space="preserve">[service]</w:t>
      </w:r>
      <w:r>
        <w:rPr>
          <w:rFonts w:ascii="Arial" w:cs="Arial" w:eastAsia="Arial" w:hAnsi="Arial"/>
          <w:sz w:val="22"/>
          <w:szCs w:val="22"/>
        </w:rPr>
        <w:t xml:space="preserve"> at parity with equivalent medical/surgical benefits. If this appeal is denied, I will file a parity violation complaint with the DOL Employee Benefits Security Administration, the state Department of Insurance, and pursue external review.</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Sincerely,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Printed Name]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color w:val="888888"/>
          <w:sz w:val="18"/>
          <w:szCs w:val="18"/>
        </w:rPr>
        <w:t xml:space="preserve">────────────────────────────────────────</w:t>
      </w:r>
    </w:p>
    <w:p>
      <w:pPr>
        <w:spacing w:after="160"/>
        <w:jc w:val="left"/>
      </w:pPr>
      <w:r>
        <w:rPr>
          <w:rFonts w:ascii="Arial" w:cs="Arial" w:eastAsia="Arial" w:hAnsi="Arial"/>
          <w:color w:val="888888"/>
          <w:sz w:val="18"/>
          <w:szCs w:val="18"/>
        </w:rPr>
        <w:t xml:space="preserve">For educational purposes only. Not legal advice. Consult an attorney or licensed public adjuster for your specific situation.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INSTRUCTIONS:</w:t>
      </w:r>
    </w:p>
    <w:p>
      <w:pPr>
        <w:spacing w:after="160"/>
        <w:jc w:val="left"/>
      </w:pPr>
      <w:r>
        <w:rPr>
          <w:rFonts w:ascii="Arial" w:cs="Arial" w:eastAsia="Arial" w:hAnsi="Arial"/>
          <w:i/>
          <w:iCs/>
          <w:color w:val="666666"/>
          <w:sz w:val="22"/>
          <w:szCs w:val="22"/>
        </w:rPr>
        <w:t xml:space="preserve">MHPAEA is enforced by the DOL (employer plans), HHS (individual/small group), and state regulators.</w:t>
      </w:r>
    </w:p>
    <w:p>
      <w:pPr>
        <w:spacing w:after="160"/>
        <w:jc w:val="left"/>
      </w:pPr>
      <w:r>
        <w:rPr>
          <w:rFonts w:ascii="Arial" w:cs="Arial" w:eastAsia="Arial" w:hAnsi="Arial"/>
          <w:i/>
          <w:iCs/>
          <w:color w:val="666666"/>
          <w:sz w:val="22"/>
          <w:szCs w:val="22"/>
        </w:rPr>
        <w:t xml:space="preserve">The KEY argument: identify a comparable medical/surgical service that IS covered and show the mental health service is treated more restrictively.</w:t>
      </w:r>
    </w:p>
    <w:p>
      <w:pPr>
        <w:spacing w:after="160"/>
        <w:jc w:val="left"/>
      </w:pPr>
      <w:r>
        <w:rPr>
          <w:rFonts w:ascii="Arial" w:cs="Arial" w:eastAsia="Arial" w:hAnsi="Arial"/>
          <w:i/>
          <w:iCs/>
          <w:color w:val="666666"/>
          <w:sz w:val="22"/>
          <w:szCs w:val="22"/>
        </w:rPr>
        <w:t xml:space="preserve">Request the insurer's comparative analysis — they are legally required to provide it and most fail to comply, which strengthens your case.</w:t>
      </w:r>
    </w:p>
    <w:p>
      <w:pPr>
        <w:spacing w:after="160"/>
        <w:jc w:val="left"/>
      </w:pPr>
      <w:r>
        <w:rPr>
          <w:rFonts w:ascii="Arial" w:cs="Arial" w:eastAsia="Arial" w:hAnsi="Arial"/>
          <w:i/>
          <w:iCs/>
          <w:color w:val="666666"/>
          <w:sz w:val="22"/>
          <w:szCs w:val="22"/>
        </w:rPr>
        <w:t xml:space="preserve">Common parity violations: session limits on therapy but not physical therapy, stricter prior auth for mental health, higher copays for psychiatry vs. other specialties.</w:t>
      </w:r>
    </w:p>
    <w:p>
      <w:pPr>
        <w:spacing w:after="160"/>
        <w:jc w:val="left"/>
      </w:pPr>
      <w:r>
        <w:rPr>
          <w:rFonts w:ascii="Arial" w:cs="Arial" w:eastAsia="Arial" w:hAnsi="Arial"/>
          <w:i/>
          <w:iCs/>
          <w:color w:val="666666"/>
          <w:sz w:val="22"/>
          <w:szCs w:val="22"/>
        </w:rPr>
        <w:t xml:space="preserve">The 21st Century Cures Act expanded parity enforcement — regulators are actively investigating violations.</w:t>
      </w:r>
    </w:p>
    <w:p>
      <w:pPr>
        <w:spacing w:after="160"/>
        <w:jc w:val="left"/>
      </w:pPr>
      <w:r>
        <w:rPr>
          <w:rFonts w:ascii="Arial" w:cs="Arial" w:eastAsia="Arial" w:hAnsi="Arial"/>
          <w:i/>
          <w:iCs/>
          <w:color w:val="666666"/>
          <w:sz w:val="22"/>
          <w:szCs w:val="22"/>
        </w:rPr>
        <w:t xml:space="preserve">If you have an employer-sponsored plan, file a complaint with DOL EBSA at askebsa.dol.gov.</w:t>
      </w:r>
    </w:p>
    <w:p>
      <w:pPr>
        <w:spacing w:after="160"/>
        <w:jc w:val="left"/>
      </w:pPr>
      <w:r>
        <w:rPr>
          <w:rFonts w:ascii="Arial" w:cs="Arial" w:eastAsia="Arial" w:hAnsi="Arial"/>
          <w:sz w:val="22"/>
          <w:szCs w:val="22"/>
        </w:rPr>
        <w:t xml:space="preserve"/>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40"/>
      <w:outlineLvl w:val="0"/>
    </w:pPr>
    <w:rPr>
      <w:rFonts w:ascii="Arial" w:cs="Arial" w:eastAsia="Arial" w:hAnsi="Arial"/>
      <w:b/>
      <w:bCs/>
      <w:sz w:val="32"/>
      <w:szCs w:val="32"/>
    </w:rPr>
  </w:style>
  <w:style w:type="paragraph" w:styleId="Heading2">
    <w:name w:val="Heading 2"/>
    <w:basedOn w:val="Normal"/>
    <w:next w:val="Normal"/>
    <w:qFormat/>
    <w:pPr>
      <w:spacing w:after="160" w:before="1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2026-03-06T18:18:49.502Z</dcterms:created>
  <dcterms:modified xsi:type="dcterms:W3CDTF">2026-03-06T18:18:49.502Z</dcterms:modified>
</cp:coreProperties>
</file>

<file path=docProps/custom.xml><?xml version="1.0" encoding="utf-8"?>
<Properties xmlns="http://schemas.openxmlformats.org/officeDocument/2006/custom-properties" xmlns:vt="http://schemas.openxmlformats.org/officeDocument/2006/docPropsVTypes"/>
</file>