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pPr>
      <w:r>
        <w:rPr>
          <w:rFonts w:ascii="Georgia" w:cs="Georgia" w:eastAsia="Georgia" w:hAnsi="Georgia"/>
          <w:b/>
          <w:bCs/>
          <w:color w:val="1A1A1A"/>
          <w:sz w:val="28"/>
          <w:szCs w:val="28"/>
        </w:rPr>
        <w:t xml:space="preserve">"When They Say No" — Escalation Strategy Guide</w:t>
      </w:r>
    </w:p>
    <w:p>
      <w:pPr>
        <w:shd w:fill="F5F5F0" w:color="auto" w:val="clear"/>
        <w:spacing w:after="120"/>
      </w:pPr>
      <w:r>
        <w:rPr>
          <w:rFonts w:ascii="Arial" w:cs="Arial" w:eastAsia="Arial" w:hAnsi="Arial"/>
          <w:b/>
          <w:bCs/>
          <w:color w:val="2C5530"/>
          <w:sz w:val="18"/>
          <w:szCs w:val="18"/>
        </w:rPr>
        <w:t xml:space="preserve">PURPOSE: </w:t>
      </w:r>
      <w:r>
        <w:rPr>
          <w:rFonts w:ascii="Arial" w:cs="Arial" w:eastAsia="Arial" w:hAnsi="Arial"/>
          <w:color w:val="444444"/>
          <w:sz w:val="18"/>
          <w:szCs w:val="18"/>
        </w:rPr>
        <w:t xml:space="preserve">A decision tree for every possible roadblock in the dispute process. When a bureau, creditor, or collector denies your request, here's exactly what to do next.</w:t>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BUREAU SAYS: 'Verified as accurate'</w:t>
      </w:r>
    </w:p>
    <w:p>
      <w:pPr>
        <w:spacing w:after="120"/>
        <w:jc w:val="left"/>
      </w:pPr>
      <w:r>
        <w:rPr>
          <w:rFonts w:ascii="Arial" w:cs="Arial" w:eastAsia="Arial" w:hAnsi="Arial"/>
          <w:b w:val="false"/>
          <w:bCs w:val="false"/>
          <w:i w:val="false"/>
          <w:iCs w:val="false"/>
          <w:color w:val="444444"/>
          <w:sz w:val="21"/>
          <w:szCs w:val="21"/>
        </w:rPr>
        <w:t xml:space="preserve">→ Step 1: Request Method of Verification (Templates 03, 85, 86)</w:t>
      </w:r>
    </w:p>
    <w:p>
      <w:pPr>
        <w:spacing w:after="120"/>
        <w:jc w:val="left"/>
      </w:pPr>
      <w:r>
        <w:rPr>
          <w:rFonts w:ascii="Arial" w:cs="Arial" w:eastAsia="Arial" w:hAnsi="Arial"/>
          <w:b w:val="false"/>
          <w:bCs w:val="false"/>
          <w:i w:val="false"/>
          <w:iCs w:val="false"/>
          <w:color w:val="444444"/>
          <w:sz w:val="21"/>
          <w:szCs w:val="21"/>
        </w:rPr>
        <w:t xml:space="preserve">→ Step 2: File direct dispute with furnisher (Template 21 or A05)</w:t>
      </w:r>
    </w:p>
    <w:p>
      <w:pPr>
        <w:spacing w:after="120"/>
        <w:jc w:val="left"/>
      </w:pPr>
      <w:r>
        <w:rPr>
          <w:rFonts w:ascii="Arial" w:cs="Arial" w:eastAsia="Arial" w:hAnsi="Arial"/>
          <w:b w:val="false"/>
          <w:bCs w:val="false"/>
          <w:i w:val="false"/>
          <w:iCs w:val="false"/>
          <w:color w:val="444444"/>
          <w:sz w:val="21"/>
          <w:szCs w:val="21"/>
        </w:rPr>
        <w:t xml:space="preserve">→ Step 3: File CFPB complaint (Template 49 or A14)</w:t>
      </w:r>
    </w:p>
    <w:p>
      <w:pPr>
        <w:spacing w:after="120"/>
        <w:jc w:val="left"/>
      </w:pPr>
      <w:r>
        <w:rPr>
          <w:rFonts w:ascii="Arial" w:cs="Arial" w:eastAsia="Arial" w:hAnsi="Arial"/>
          <w:b w:val="false"/>
          <w:bCs w:val="false"/>
          <w:i w:val="false"/>
          <w:iCs w:val="false"/>
          <w:color w:val="444444"/>
          <w:sz w:val="21"/>
          <w:szCs w:val="21"/>
        </w:rPr>
        <w:t xml:space="preserve">→ Step 4: Send pre-litigation demand (Template 54)</w:t>
      </w:r>
    </w:p>
    <w:p>
      <w:pPr>
        <w:spacing w:after="120"/>
        <w:jc w:val="left"/>
      </w:pPr>
      <w:r>
        <w:rPr>
          <w:rFonts w:ascii="Arial" w:cs="Arial" w:eastAsia="Arial" w:hAnsi="Arial"/>
          <w:b w:val="false"/>
          <w:bCs w:val="false"/>
          <w:i w:val="false"/>
          <w:iCs w:val="false"/>
          <w:color w:val="444444"/>
          <w:sz w:val="21"/>
          <w:szCs w:val="21"/>
        </w:rPr>
        <w:t xml:space="preserve">→ Step 5: Consult FCRA attorney or file small claims (Guide A04)</w:t>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BUREAU SAYS: 'Frivolous dispute'</w:t>
      </w:r>
    </w:p>
    <w:p>
      <w:pPr>
        <w:spacing w:after="120"/>
        <w:jc w:val="left"/>
      </w:pPr>
      <w:r>
        <w:rPr>
          <w:rFonts w:ascii="Arial" w:cs="Arial" w:eastAsia="Arial" w:hAnsi="Arial"/>
          <w:b w:val="false"/>
          <w:bCs w:val="false"/>
          <w:i w:val="false"/>
          <w:iCs w:val="false"/>
          <w:color w:val="444444"/>
          <w:sz w:val="21"/>
          <w:szCs w:val="21"/>
        </w:rPr>
        <w:t xml:space="preserve">→ Step 1: Send Frivolous Response Letter (Template 14)</w:t>
      </w:r>
    </w:p>
    <w:p>
      <w:pPr>
        <w:spacing w:after="120"/>
        <w:jc w:val="left"/>
      </w:pPr>
      <w:r>
        <w:rPr>
          <w:rFonts w:ascii="Arial" w:cs="Arial" w:eastAsia="Arial" w:hAnsi="Arial"/>
          <w:b w:val="false"/>
          <w:bCs w:val="false"/>
          <w:i w:val="false"/>
          <w:iCs w:val="false"/>
          <w:color w:val="444444"/>
          <w:sz w:val="21"/>
          <w:szCs w:val="21"/>
        </w:rPr>
        <w:t xml:space="preserve">→ Step 2: Resubmit with additional documentation and different dispute reason</w:t>
      </w:r>
    </w:p>
    <w:p>
      <w:pPr>
        <w:spacing w:after="120"/>
        <w:jc w:val="left"/>
      </w:pPr>
      <w:r>
        <w:rPr>
          <w:rFonts w:ascii="Arial" w:cs="Arial" w:eastAsia="Arial" w:hAnsi="Arial"/>
          <w:b w:val="false"/>
          <w:bCs w:val="false"/>
          <w:i w:val="false"/>
          <w:iCs w:val="false"/>
          <w:color w:val="444444"/>
          <w:sz w:val="21"/>
          <w:szCs w:val="21"/>
        </w:rPr>
        <w:t xml:space="preserve">→ Step 3: File CFPB complaint — frivolous determinations are closely scrutinized</w:t>
      </w:r>
    </w:p>
    <w:p>
      <w:pPr>
        <w:spacing w:after="120"/>
        <w:jc w:val="left"/>
      </w:pPr>
      <w:r>
        <w:rPr>
          <w:rFonts w:ascii="Arial" w:cs="Arial" w:eastAsia="Arial" w:hAnsi="Arial"/>
          <w:b w:val="false"/>
          <w:bCs w:val="false"/>
          <w:i w:val="false"/>
          <w:iCs w:val="false"/>
          <w:color w:val="444444"/>
          <w:sz w:val="21"/>
          <w:szCs w:val="21"/>
        </w:rPr>
        <w:t xml:space="preserve">→ Step 4: Dispute via mail if previous was online (mail disputes get more attention)</w:t>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CREDITOR SAYS: 'We don't do goodwill adjustments'</w:t>
      </w:r>
    </w:p>
    <w:p>
      <w:pPr>
        <w:spacing w:after="120"/>
        <w:jc w:val="left"/>
      </w:pPr>
      <w:r>
        <w:rPr>
          <w:rFonts w:ascii="Arial" w:cs="Arial" w:eastAsia="Arial" w:hAnsi="Arial"/>
          <w:b w:val="false"/>
          <w:bCs w:val="false"/>
          <w:i w:val="false"/>
          <w:iCs w:val="false"/>
          <w:color w:val="444444"/>
          <w:sz w:val="21"/>
          <w:szCs w:val="21"/>
        </w:rPr>
        <w:t xml:space="preserve">→ Step 1: Call back and ask for a supervisor</w:t>
      </w:r>
    </w:p>
    <w:p>
      <w:pPr>
        <w:spacing w:after="120"/>
        <w:jc w:val="left"/>
      </w:pPr>
      <w:r>
        <w:rPr>
          <w:rFonts w:ascii="Arial" w:cs="Arial" w:eastAsia="Arial" w:hAnsi="Arial"/>
          <w:b w:val="false"/>
          <w:bCs w:val="false"/>
          <w:i w:val="false"/>
          <w:iCs w:val="false"/>
          <w:color w:val="444444"/>
          <w:sz w:val="21"/>
          <w:szCs w:val="21"/>
        </w:rPr>
        <w:t xml:space="preserve">→ Step 2: Write to the executive office/CEO</w:t>
      </w:r>
    </w:p>
    <w:p>
      <w:pPr>
        <w:spacing w:after="120"/>
        <w:jc w:val="left"/>
      </w:pPr>
      <w:r>
        <w:rPr>
          <w:rFonts w:ascii="Arial" w:cs="Arial" w:eastAsia="Arial" w:hAnsi="Arial"/>
          <w:b w:val="false"/>
          <w:bCs w:val="false"/>
          <w:i w:val="false"/>
          <w:iCs w:val="false"/>
          <w:color w:val="444444"/>
          <w:sz w:val="21"/>
          <w:szCs w:val="21"/>
        </w:rPr>
        <w:t xml:space="preserve">→ Step 3: Check if the negative mark is actually accurate — if any detail is wrong, dispute the inaccuracy</w:t>
      </w:r>
    </w:p>
    <w:p>
      <w:pPr>
        <w:spacing w:after="120"/>
        <w:jc w:val="left"/>
      </w:pPr>
      <w:r>
        <w:rPr>
          <w:rFonts w:ascii="Arial" w:cs="Arial" w:eastAsia="Arial" w:hAnsi="Arial"/>
          <w:b w:val="false"/>
          <w:bCs w:val="false"/>
          <w:i w:val="false"/>
          <w:iCs w:val="false"/>
          <w:color w:val="444444"/>
          <w:sz w:val="21"/>
          <w:szCs w:val="21"/>
        </w:rPr>
        <w:t xml:space="preserve">→ Step 4: Wait for it to age — negative impact decreases significantly after 2 years</w:t>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COLLECTOR SAYS: 'Pay or we'll sue'</w:t>
      </w:r>
    </w:p>
    <w:p>
      <w:pPr>
        <w:spacing w:after="120"/>
        <w:jc w:val="left"/>
      </w:pPr>
      <w:r>
        <w:rPr>
          <w:rFonts w:ascii="Arial" w:cs="Arial" w:eastAsia="Arial" w:hAnsi="Arial"/>
          <w:b w:val="false"/>
          <w:bCs w:val="false"/>
          <w:i w:val="false"/>
          <w:iCs w:val="false"/>
          <w:color w:val="444444"/>
          <w:sz w:val="21"/>
          <w:szCs w:val="21"/>
        </w:rPr>
        <w:t xml:space="preserve">→ Step 1: Check statute of limitations — if expired, send Template 74</w:t>
      </w:r>
    </w:p>
    <w:p>
      <w:pPr>
        <w:spacing w:after="120"/>
        <w:jc w:val="left"/>
      </w:pPr>
      <w:r>
        <w:rPr>
          <w:rFonts w:ascii="Arial" w:cs="Arial" w:eastAsia="Arial" w:hAnsi="Arial"/>
          <w:b w:val="false"/>
          <w:bCs w:val="false"/>
          <w:i w:val="false"/>
          <w:iCs w:val="false"/>
          <w:color w:val="444444"/>
          <w:sz w:val="21"/>
          <w:szCs w:val="21"/>
        </w:rPr>
        <w:t xml:space="preserve">→ Step 2: If within SOL, send validation request (Template 27)</w:t>
      </w:r>
    </w:p>
    <w:p>
      <w:pPr>
        <w:spacing w:after="120"/>
        <w:jc w:val="left"/>
      </w:pPr>
      <w:r>
        <w:rPr>
          <w:rFonts w:ascii="Arial" w:cs="Arial" w:eastAsia="Arial" w:hAnsi="Arial"/>
          <w:b w:val="false"/>
          <w:bCs w:val="false"/>
          <w:i w:val="false"/>
          <w:iCs w:val="false"/>
          <w:color w:val="444444"/>
          <w:sz w:val="21"/>
          <w:szCs w:val="21"/>
        </w:rPr>
        <w:t xml:space="preserve">→ Step 3: If they can't validate, send Template 76</w:t>
      </w:r>
    </w:p>
    <w:p>
      <w:pPr>
        <w:spacing w:after="120"/>
        <w:jc w:val="left"/>
      </w:pPr>
      <w:r>
        <w:rPr>
          <w:rFonts w:ascii="Arial" w:cs="Arial" w:eastAsia="Arial" w:hAnsi="Arial"/>
          <w:b w:val="false"/>
          <w:bCs w:val="false"/>
          <w:i w:val="false"/>
          <w:iCs w:val="false"/>
          <w:color w:val="444444"/>
          <w:sz w:val="21"/>
          <w:szCs w:val="21"/>
        </w:rPr>
        <w:t xml:space="preserve">→ Step 4: If they can validate and SOL is active, negotiate settlement (Template 33)</w:t>
      </w:r>
    </w:p>
    <w:p>
      <w:pPr>
        <w:spacing w:after="120"/>
        <w:jc w:val="left"/>
      </w:pPr>
      <w:r>
        <w:rPr>
          <w:rFonts w:ascii="Arial" w:cs="Arial" w:eastAsia="Arial" w:hAnsi="Arial"/>
          <w:b w:val="false"/>
          <w:bCs w:val="false"/>
          <w:i w:val="false"/>
          <w:iCs w:val="false"/>
          <w:color w:val="444444"/>
          <w:sz w:val="21"/>
          <w:szCs w:val="21"/>
        </w:rPr>
        <w:t xml:space="preserve">→ Step 5: Get EVERYTHING in writing before paying</w:t>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CREDITOR/COLLECTOR WON'T STOP CALLING</w:t>
      </w:r>
    </w:p>
    <w:p>
      <w:pPr>
        <w:spacing w:after="120"/>
        <w:jc w:val="left"/>
      </w:pPr>
      <w:r>
        <w:rPr>
          <w:rFonts w:ascii="Arial" w:cs="Arial" w:eastAsia="Arial" w:hAnsi="Arial"/>
          <w:b w:val="false"/>
          <w:bCs w:val="false"/>
          <w:i w:val="false"/>
          <w:iCs w:val="false"/>
          <w:color w:val="444444"/>
          <w:sz w:val="21"/>
          <w:szCs w:val="21"/>
        </w:rPr>
        <w:t xml:space="preserve">→ Step 1: Send Cease and Desist (Template 28)</w:t>
      </w:r>
    </w:p>
    <w:p>
      <w:pPr>
        <w:spacing w:after="120"/>
        <w:jc w:val="left"/>
      </w:pPr>
      <w:r>
        <w:rPr>
          <w:rFonts w:ascii="Arial" w:cs="Arial" w:eastAsia="Arial" w:hAnsi="Arial"/>
          <w:b w:val="false"/>
          <w:bCs w:val="false"/>
          <w:i w:val="false"/>
          <w:iCs w:val="false"/>
          <w:color w:val="444444"/>
          <w:sz w:val="21"/>
          <w:szCs w:val="21"/>
        </w:rPr>
        <w:t xml:space="preserve">→ Step 2: Document every call after cease letter (FDCPA violation)</w:t>
      </w:r>
    </w:p>
    <w:p>
      <w:pPr>
        <w:spacing w:after="120"/>
        <w:jc w:val="left"/>
      </w:pPr>
      <w:r>
        <w:rPr>
          <w:rFonts w:ascii="Arial" w:cs="Arial" w:eastAsia="Arial" w:hAnsi="Arial"/>
          <w:b w:val="false"/>
          <w:bCs w:val="false"/>
          <w:i w:val="false"/>
          <w:iCs w:val="false"/>
          <w:color w:val="444444"/>
          <w:sz w:val="21"/>
          <w:szCs w:val="21"/>
        </w:rPr>
        <w:t xml:space="preserve">→ Step 3: File FDCPA violation notice (Template 75)</w:t>
      </w:r>
    </w:p>
    <w:p>
      <w:pPr>
        <w:spacing w:after="120"/>
        <w:jc w:val="left"/>
      </w:pPr>
      <w:r>
        <w:rPr>
          <w:rFonts w:ascii="Arial" w:cs="Arial" w:eastAsia="Arial" w:hAnsi="Arial"/>
          <w:b w:val="false"/>
          <w:bCs w:val="false"/>
          <w:i w:val="false"/>
          <w:iCs w:val="false"/>
          <w:color w:val="444444"/>
          <w:sz w:val="21"/>
          <w:szCs w:val="21"/>
        </w:rPr>
        <w:t xml:space="preserve">→ Step 4: File CFPB complaint (Template 51)</w:t>
      </w:r>
    </w:p>
    <w:p>
      <w:pPr>
        <w:spacing w:after="60"/>
      </w:pPr>
      <w:r>
        <w:rPr>
          <w:rFonts w:ascii="Arial" w:cs="Arial" w:eastAsia="Arial" w:hAnsi="Arial"/>
          <w:sz w:val="2"/>
          <w:szCs w:val="2"/>
        </w:rPr>
        <w:t xml:space="preserve"/>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Persistence wins. Most people give up after the first 'no.' The dispute process is designed to have multiple rounds. Each escalation step increases pressure on the company to resolve your issue.</w:t>
      </w:r>
    </w:p>
    <w:sectPr>
      <w:footerReference w:type="default" r:id="rId7"/>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2026-03-03T20:10:08.844Z</dcterms:created>
  <dcterms:modified xsi:type="dcterms:W3CDTF">2026-03-03T20:10:08.844Z</dcterms:modified>
</cp:coreProperties>
</file>

<file path=docProps/custom.xml><?xml version="1.0" encoding="utf-8"?>
<Properties xmlns="http://schemas.openxmlformats.org/officeDocument/2006/custom-properties" xmlns:vt="http://schemas.openxmlformats.org/officeDocument/2006/docPropsVTypes"/>
</file>