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Statute of Limitations Quick Reference</w:t>
      </w:r>
    </w:p>
    <w:p>
      <w:pPr>
        <w:shd w:fill="F5F5F0" w:color="auto" w:val="clear"/>
        <w:spacing w:after="120"/>
      </w:pPr>
      <w:r>
        <w:rPr>
          <w:rFonts w:ascii="Arial" w:cs="Arial" w:eastAsia="Arial" w:hAnsi="Arial"/>
          <w:b/>
          <w:bCs/>
          <w:color w:val="2C5530"/>
          <w:sz w:val="18"/>
          <w:szCs w:val="18"/>
        </w:rPr>
        <w:t xml:space="preserve">PURPOSE: </w:t>
      </w:r>
      <w:r>
        <w:rPr>
          <w:rFonts w:ascii="Arial" w:cs="Arial" w:eastAsia="Arial" w:hAnsi="Arial"/>
          <w:color w:val="444444"/>
          <w:sz w:val="18"/>
          <w:szCs w:val="18"/>
        </w:rPr>
        <w:t xml:space="preserve">This reference shows when negative items must fall off your credit report and the debt collection statute of limitations by state. Use this to identify items that should have been removed.</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FCRA Reporting Time Limits (Federal — Applies in All States)</w:t>
      </w:r>
    </w:p>
    <w:p>
      <w:pPr>
        <w:spacing w:after="120"/>
        <w:jc w:val="left"/>
      </w:pPr>
      <w:r>
        <w:rPr>
          <w:rFonts w:ascii="Arial" w:cs="Arial" w:eastAsia="Arial" w:hAnsi="Arial"/>
          <w:b w:val="false"/>
          <w:bCs w:val="false"/>
          <w:i w:val="false"/>
          <w:iCs w:val="false"/>
          <w:color w:val="444444"/>
          <w:sz w:val="21"/>
          <w:szCs w:val="21"/>
        </w:rPr>
        <w:t xml:space="preserve">Late payments: 7 years from date of first delinquency</w:t>
      </w:r>
    </w:p>
    <w:p>
      <w:pPr>
        <w:spacing w:after="120"/>
        <w:jc w:val="left"/>
      </w:pPr>
      <w:r>
        <w:rPr>
          <w:rFonts w:ascii="Arial" w:cs="Arial" w:eastAsia="Arial" w:hAnsi="Arial"/>
          <w:b w:val="false"/>
          <w:bCs w:val="false"/>
          <w:i w:val="false"/>
          <w:iCs w:val="false"/>
          <w:color w:val="444444"/>
          <w:sz w:val="21"/>
          <w:szCs w:val="21"/>
        </w:rPr>
        <w:t xml:space="preserve">Collections: 7 years from date of first delinquency on original account</w:t>
      </w:r>
    </w:p>
    <w:p>
      <w:pPr>
        <w:spacing w:after="120"/>
        <w:jc w:val="left"/>
      </w:pPr>
      <w:r>
        <w:rPr>
          <w:rFonts w:ascii="Arial" w:cs="Arial" w:eastAsia="Arial" w:hAnsi="Arial"/>
          <w:b w:val="false"/>
          <w:bCs w:val="false"/>
          <w:i w:val="false"/>
          <w:iCs w:val="false"/>
          <w:color w:val="444444"/>
          <w:sz w:val="21"/>
          <w:szCs w:val="21"/>
        </w:rPr>
        <w:t xml:space="preserve">Charge-offs: 7 years from date of first delinquency</w:t>
      </w:r>
    </w:p>
    <w:p>
      <w:pPr>
        <w:spacing w:after="120"/>
        <w:jc w:val="left"/>
      </w:pPr>
      <w:r>
        <w:rPr>
          <w:rFonts w:ascii="Arial" w:cs="Arial" w:eastAsia="Arial" w:hAnsi="Arial"/>
          <w:b w:val="false"/>
          <w:bCs w:val="false"/>
          <w:i w:val="false"/>
          <w:iCs w:val="false"/>
          <w:color w:val="444444"/>
          <w:sz w:val="21"/>
          <w:szCs w:val="21"/>
        </w:rPr>
        <w:t xml:space="preserve">Chapter 7 bankruptcy: 10 years from filing date</w:t>
      </w:r>
    </w:p>
    <w:p>
      <w:pPr>
        <w:spacing w:after="120"/>
        <w:jc w:val="left"/>
      </w:pPr>
      <w:r>
        <w:rPr>
          <w:rFonts w:ascii="Arial" w:cs="Arial" w:eastAsia="Arial" w:hAnsi="Arial"/>
          <w:b w:val="false"/>
          <w:bCs w:val="false"/>
          <w:i w:val="false"/>
          <w:iCs w:val="false"/>
          <w:color w:val="444444"/>
          <w:sz w:val="21"/>
          <w:szCs w:val="21"/>
        </w:rPr>
        <w:t xml:space="preserve">Chapter 13 bankruptcy: 7 years from filing date</w:t>
      </w:r>
    </w:p>
    <w:p>
      <w:pPr>
        <w:spacing w:after="120"/>
        <w:jc w:val="left"/>
      </w:pPr>
      <w:r>
        <w:rPr>
          <w:rFonts w:ascii="Arial" w:cs="Arial" w:eastAsia="Arial" w:hAnsi="Arial"/>
          <w:b w:val="false"/>
          <w:bCs w:val="false"/>
          <w:i w:val="false"/>
          <w:iCs w:val="false"/>
          <w:color w:val="444444"/>
          <w:sz w:val="21"/>
          <w:szCs w:val="21"/>
        </w:rPr>
        <w:t xml:space="preserve">Tax liens (unpaid): Removed from reports since 2018 (bureau policy)</w:t>
      </w:r>
    </w:p>
    <w:p>
      <w:pPr>
        <w:spacing w:after="120"/>
        <w:jc w:val="left"/>
      </w:pPr>
      <w:r>
        <w:rPr>
          <w:rFonts w:ascii="Arial" w:cs="Arial" w:eastAsia="Arial" w:hAnsi="Arial"/>
          <w:b w:val="false"/>
          <w:bCs w:val="false"/>
          <w:i w:val="false"/>
          <w:iCs w:val="false"/>
          <w:color w:val="444444"/>
          <w:sz w:val="21"/>
          <w:szCs w:val="21"/>
        </w:rPr>
        <w:t xml:space="preserve">Judgments: Removed from reports since 2018 (bureau policy)</w:t>
      </w:r>
    </w:p>
    <w:p>
      <w:pPr>
        <w:spacing w:after="120"/>
        <w:jc w:val="left"/>
      </w:pPr>
      <w:r>
        <w:rPr>
          <w:rFonts w:ascii="Arial" w:cs="Arial" w:eastAsia="Arial" w:hAnsi="Arial"/>
          <w:b w:val="false"/>
          <w:bCs w:val="false"/>
          <w:i w:val="false"/>
          <w:iCs w:val="false"/>
          <w:color w:val="444444"/>
          <w:sz w:val="21"/>
          <w:szCs w:val="21"/>
        </w:rPr>
        <w:t xml:space="preserve">Hard inquiries: 2 years</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IMPORTANT: Reporting Period vs. Collection SOL</w:t>
      </w:r>
    </w:p>
    <w:p>
      <w:pPr>
        <w:spacing w:after="120"/>
        <w:jc w:val="left"/>
      </w:pPr>
      <w:r>
        <w:rPr>
          <w:rFonts w:ascii="Arial" w:cs="Arial" w:eastAsia="Arial" w:hAnsi="Arial"/>
          <w:b w:val="false"/>
          <w:bCs w:val="false"/>
          <w:i w:val="false"/>
          <w:iCs w:val="false"/>
          <w:color w:val="444444"/>
          <w:sz w:val="21"/>
          <w:szCs w:val="21"/>
        </w:rPr>
        <w:t xml:space="preserve">These are two different things:</w:t>
      </w:r>
    </w:p>
    <w:p>
      <w:pPr>
        <w:spacing w:after="120"/>
        <w:ind w:left="360"/>
        <w:jc w:val="left"/>
      </w:pPr>
      <w:r>
        <w:rPr>
          <w:rFonts w:ascii="Arial" w:cs="Arial" w:eastAsia="Arial" w:hAnsi="Arial"/>
          <w:b w:val="false"/>
          <w:bCs w:val="false"/>
          <w:i w:val="false"/>
          <w:iCs w:val="false"/>
          <w:color w:val="444444"/>
          <w:sz w:val="21"/>
          <w:szCs w:val="21"/>
        </w:rPr>
        <w:t xml:space="preserve">— Reporting period = how long it can appear on your credit report (FCRA)</w:t>
      </w:r>
    </w:p>
    <w:p>
      <w:pPr>
        <w:spacing w:after="120"/>
        <w:ind w:left="360"/>
        <w:jc w:val="left"/>
      </w:pPr>
      <w:r>
        <w:rPr>
          <w:rFonts w:ascii="Arial" w:cs="Arial" w:eastAsia="Arial" w:hAnsi="Arial"/>
          <w:b w:val="false"/>
          <w:bCs w:val="false"/>
          <w:i w:val="false"/>
          <w:iCs w:val="false"/>
          <w:color w:val="444444"/>
          <w:sz w:val="21"/>
          <w:szCs w:val="21"/>
        </w:rPr>
        <w:t xml:space="preserve">— Collection SOL = how long a creditor can sue you for the debt (state law)</w:t>
      </w:r>
    </w:p>
    <w:p>
      <w:pPr>
        <w:spacing w:after="120"/>
        <w:ind w:left="360"/>
        <w:jc w:val="left"/>
      </w:pPr>
      <w:r>
        <w:rPr>
          <w:rFonts w:ascii="Arial" w:cs="Arial" w:eastAsia="Arial" w:hAnsi="Arial"/>
          <w:b w:val="false"/>
          <w:bCs w:val="false"/>
          <w:i w:val="false"/>
          <w:iCs w:val="false"/>
          <w:color w:val="444444"/>
          <w:sz w:val="21"/>
          <w:szCs w:val="21"/>
        </w:rPr>
        <w:t xml:space="preserve">— The SOL can expire while the item is still on your report</w:t>
      </w:r>
    </w:p>
    <w:p>
      <w:pPr>
        <w:spacing w:after="120"/>
        <w:ind w:left="360"/>
        <w:jc w:val="left"/>
      </w:pPr>
      <w:r>
        <w:rPr>
          <w:rFonts w:ascii="Arial" w:cs="Arial" w:eastAsia="Arial" w:hAnsi="Arial"/>
          <w:b w:val="false"/>
          <w:bCs w:val="false"/>
          <w:i w:val="false"/>
          <w:iCs w:val="false"/>
          <w:color w:val="444444"/>
          <w:sz w:val="21"/>
          <w:szCs w:val="21"/>
        </w:rPr>
        <w:t xml:space="preserve">— Paying an old debt does NOT restart the reporting period</w:t>
      </w:r>
    </w:p>
    <w:p>
      <w:pPr>
        <w:spacing w:after="120"/>
        <w:ind w:left="360"/>
        <w:jc w:val="left"/>
      </w:pPr>
      <w:r>
        <w:rPr>
          <w:rFonts w:ascii="Arial" w:cs="Arial" w:eastAsia="Arial" w:hAnsi="Arial"/>
          <w:b w:val="false"/>
          <w:bCs w:val="false"/>
          <w:i w:val="false"/>
          <w:iCs w:val="false"/>
          <w:color w:val="444444"/>
          <w:sz w:val="21"/>
          <w:szCs w:val="21"/>
        </w:rPr>
        <w:t xml:space="preserve">— But paying MAY restart the collection SOL in some states</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State Collection SOL Quick Reference</w:t>
      </w:r>
    </w:p>
    <w:p>
      <w:pPr>
        <w:spacing w:after="120"/>
        <w:jc w:val="left"/>
      </w:pPr>
      <w:r>
        <w:rPr>
          <w:rFonts w:ascii="Arial" w:cs="Arial" w:eastAsia="Arial" w:hAnsi="Arial"/>
          <w:b w:val="false"/>
          <w:bCs w:val="false"/>
          <w:i w:val="false"/>
          <w:iCs w:val="false"/>
          <w:color w:val="444444"/>
          <w:sz w:val="21"/>
          <w:szCs w:val="21"/>
        </w:rPr>
        <w:t xml:space="preserve">3 years: AL, AZ, DC, MD, MA, MI, MS, MT, NH, NM, NC, SC</w:t>
      </w:r>
    </w:p>
    <w:p>
      <w:pPr>
        <w:spacing w:after="120"/>
        <w:jc w:val="left"/>
      </w:pPr>
      <w:r>
        <w:rPr>
          <w:rFonts w:ascii="Arial" w:cs="Arial" w:eastAsia="Arial" w:hAnsi="Arial"/>
          <w:b w:val="false"/>
          <w:bCs w:val="false"/>
          <w:i w:val="false"/>
          <w:iCs w:val="false"/>
          <w:color w:val="444444"/>
          <w:sz w:val="21"/>
          <w:szCs w:val="21"/>
        </w:rPr>
        <w:t xml:space="preserve">4 years: CA, CO, DE, PA, TX, UT, WA</w:t>
      </w:r>
    </w:p>
    <w:p>
      <w:pPr>
        <w:spacing w:after="120"/>
        <w:jc w:val="left"/>
      </w:pPr>
      <w:r>
        <w:rPr>
          <w:rFonts w:ascii="Arial" w:cs="Arial" w:eastAsia="Arial" w:hAnsi="Arial"/>
          <w:b w:val="false"/>
          <w:bCs w:val="false"/>
          <w:i w:val="false"/>
          <w:iCs w:val="false"/>
          <w:color w:val="444444"/>
          <w:sz w:val="21"/>
          <w:szCs w:val="21"/>
        </w:rPr>
        <w:t xml:space="preserve">5 years: AR, CT, FL, ID, KS, MN, NE, NV, SD, VT, WI</w:t>
      </w:r>
    </w:p>
    <w:p>
      <w:pPr>
        <w:spacing w:after="120"/>
        <w:jc w:val="left"/>
      </w:pPr>
      <w:r>
        <w:rPr>
          <w:rFonts w:ascii="Arial" w:cs="Arial" w:eastAsia="Arial" w:hAnsi="Arial"/>
          <w:b w:val="false"/>
          <w:bCs w:val="false"/>
          <w:i w:val="false"/>
          <w:iCs w:val="false"/>
          <w:color w:val="444444"/>
          <w:sz w:val="21"/>
          <w:szCs w:val="21"/>
        </w:rPr>
        <w:t xml:space="preserve">6 years: AK, GA, HI, IL, IN, IA, KY, LA, ME, MO, NJ, NY, ND, OH, OK, OR, TN, VA, WV, WY</w:t>
      </w:r>
    </w:p>
    <w:p>
      <w:pPr>
        <w:spacing w:after="120"/>
        <w:jc w:val="left"/>
      </w:pPr>
      <w:r>
        <w:rPr>
          <w:rFonts w:ascii="Arial" w:cs="Arial" w:eastAsia="Arial" w:hAnsi="Arial"/>
          <w:b w:val="false"/>
          <w:bCs w:val="false"/>
          <w:i w:val="false"/>
          <w:iCs w:val="false"/>
          <w:color w:val="444444"/>
          <w:sz w:val="21"/>
          <w:szCs w:val="21"/>
        </w:rPr>
        <w:t xml:space="preserve">8-10 years: RI (10), WY (8)</w:t>
      </w:r>
    </w:p>
    <w:p>
      <w:pPr>
        <w:spacing w:after="60"/>
      </w:pPr>
      <w:r>
        <w:rPr>
          <w:rFonts w:ascii="Arial" w:cs="Arial" w:eastAsia="Arial" w:hAnsi="Arial"/>
          <w:sz w:val="2"/>
          <w:szCs w:val="2"/>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CHECK YOUR SPECIFIC STATE for the most current SOL — these can change. Search '[your state] statute of limitations on debt' at your state Attorney General's website. The SOL type (written contract, oral contract, promissory note) matters too.</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2026-03-03T20:10:08.726Z</dcterms:created>
  <dcterms:modified xsi:type="dcterms:W3CDTF">2026-03-03T20:10:08.726Z</dcterms:modified>
</cp:coreProperties>
</file>

<file path=docProps/custom.xml><?xml version="1.0" encoding="utf-8"?>
<Properties xmlns="http://schemas.openxmlformats.org/officeDocument/2006/custom-properties" xmlns:vt="http://schemas.openxmlformats.org/officeDocument/2006/docPropsVTypes"/>
</file>