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Small Claims Court Filing Guide for FCRA Violations</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You've exhausted dispute and complaint processes and want to file a small claims court case for FCRA violations. Small claims is low-cost, no attorney needed, and can recover $1,000+ per violation.</w:t>
      </w:r>
    </w:p>
    <w:p>
      <w:pPr>
        <w:shd w:fill="F5F5F0" w:color="auto" w:val="clear"/>
        <w:spacing w:after="120"/>
      </w:pPr>
      <w:r>
        <w:rPr>
          <w:rFonts w:ascii="Arial" w:cs="Arial" w:eastAsia="Arial" w:hAnsi="Arial"/>
          <w:b/>
          <w:bCs/>
          <w:color w:val="2C5530"/>
          <w:sz w:val="18"/>
          <w:szCs w:val="18"/>
        </w:rPr>
        <w:t xml:space="preserve">IMPORTANT: </w:t>
      </w:r>
      <w:r>
        <w:rPr>
          <w:rFonts w:ascii="Arial" w:cs="Arial" w:eastAsia="Arial" w:hAnsi="Arial"/>
          <w:color w:val="444444"/>
          <w:sz w:val="18"/>
          <w:szCs w:val="18"/>
        </w:rPr>
        <w:t xml:space="preserve">FCRA cases can be filed in federal court or state court. Small claims is the simplest option for straightforward violations. For complex cases with multiple defendants, consult an FCRA attorney.</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When Small Claims Makes Sense</w:t>
      </w:r>
    </w:p>
    <w:p>
      <w:pPr>
        <w:spacing w:after="120"/>
        <w:ind w:left="360"/>
        <w:jc w:val="left"/>
      </w:pPr>
      <w:r>
        <w:rPr>
          <w:rFonts w:ascii="Arial" w:cs="Arial" w:eastAsia="Arial" w:hAnsi="Arial"/>
          <w:b w:val="false"/>
          <w:bCs w:val="false"/>
          <w:i w:val="false"/>
          <w:iCs w:val="false"/>
          <w:color w:val="444444"/>
          <w:sz w:val="21"/>
          <w:szCs w:val="21"/>
        </w:rPr>
        <w:t xml:space="preserve">— Bureau verified inaccurate information despite multiple disputes</w:t>
      </w:r>
    </w:p>
    <w:p>
      <w:pPr>
        <w:spacing w:after="120"/>
        <w:ind w:left="360"/>
        <w:jc w:val="left"/>
      </w:pPr>
      <w:r>
        <w:rPr>
          <w:rFonts w:ascii="Arial" w:cs="Arial" w:eastAsia="Arial" w:hAnsi="Arial"/>
          <w:b w:val="false"/>
          <w:bCs w:val="false"/>
          <w:i w:val="false"/>
          <w:iCs w:val="false"/>
          <w:color w:val="444444"/>
          <w:sz w:val="21"/>
          <w:szCs w:val="21"/>
        </w:rPr>
        <w:t xml:space="preserve">— Furnisher continued reporting known inaccurate data</w:t>
      </w:r>
    </w:p>
    <w:p>
      <w:pPr>
        <w:spacing w:after="120"/>
        <w:ind w:left="360"/>
        <w:jc w:val="left"/>
      </w:pPr>
      <w:r>
        <w:rPr>
          <w:rFonts w:ascii="Arial" w:cs="Arial" w:eastAsia="Arial" w:hAnsi="Arial"/>
          <w:b w:val="false"/>
          <w:bCs w:val="false"/>
          <w:i w:val="false"/>
          <w:iCs w:val="false"/>
          <w:color w:val="444444"/>
          <w:sz w:val="21"/>
          <w:szCs w:val="21"/>
        </w:rPr>
        <w:t xml:space="preserve">— Collector violated FDCPA (up to $1,000 statutory damages per violation)</w:t>
      </w:r>
    </w:p>
    <w:p>
      <w:pPr>
        <w:spacing w:after="120"/>
        <w:ind w:left="360"/>
        <w:jc w:val="left"/>
      </w:pPr>
      <w:r>
        <w:rPr>
          <w:rFonts w:ascii="Arial" w:cs="Arial" w:eastAsia="Arial" w:hAnsi="Arial"/>
          <w:b w:val="false"/>
          <w:bCs w:val="false"/>
          <w:i w:val="false"/>
          <w:iCs w:val="false"/>
          <w:color w:val="444444"/>
          <w:sz w:val="21"/>
          <w:szCs w:val="21"/>
        </w:rPr>
        <w:t xml:space="preserve">— You have documented damages (credit denial, higher interest rate, emotional distress)</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What You Need to File</w:t>
      </w:r>
    </w:p>
    <w:p>
      <w:pPr>
        <w:spacing w:after="120"/>
        <w:ind w:left="360"/>
        <w:jc w:val="left"/>
      </w:pPr>
      <w:r>
        <w:rPr>
          <w:rFonts w:ascii="Arial" w:cs="Arial" w:eastAsia="Arial" w:hAnsi="Arial"/>
          <w:b w:val="false"/>
          <w:bCs w:val="false"/>
          <w:i w:val="false"/>
          <w:iCs w:val="false"/>
          <w:color w:val="444444"/>
          <w:sz w:val="21"/>
          <w:szCs w:val="21"/>
        </w:rPr>
        <w:t xml:space="preserve">1. Complete documentation of all disputes, responses, and communications.</w:t>
      </w:r>
    </w:p>
    <w:p>
      <w:pPr>
        <w:spacing w:after="120"/>
        <w:ind w:left="360"/>
        <w:jc w:val="left"/>
      </w:pPr>
      <w:r>
        <w:rPr>
          <w:rFonts w:ascii="Arial" w:cs="Arial" w:eastAsia="Arial" w:hAnsi="Arial"/>
          <w:b w:val="false"/>
          <w:bCs w:val="false"/>
          <w:i w:val="false"/>
          <w:iCs w:val="false"/>
          <w:color w:val="444444"/>
          <w:sz w:val="21"/>
          <w:szCs w:val="21"/>
        </w:rPr>
        <w:t xml:space="preserve">2. Copies of credit reports showing the inaccurate information.</w:t>
      </w:r>
    </w:p>
    <w:p>
      <w:pPr>
        <w:spacing w:after="120"/>
        <w:ind w:left="360"/>
        <w:jc w:val="left"/>
      </w:pPr>
      <w:r>
        <w:rPr>
          <w:rFonts w:ascii="Arial" w:cs="Arial" w:eastAsia="Arial" w:hAnsi="Arial"/>
          <w:b w:val="false"/>
          <w:bCs w:val="false"/>
          <w:i w:val="false"/>
          <w:iCs w:val="false"/>
          <w:color w:val="444444"/>
          <w:sz w:val="21"/>
          <w:szCs w:val="21"/>
        </w:rPr>
        <w:t xml:space="preserve">3. Evidence of damages (denial letters, rate quotes, medical records for stress).</w:t>
      </w:r>
    </w:p>
    <w:p>
      <w:pPr>
        <w:spacing w:after="120"/>
        <w:ind w:left="360"/>
        <w:jc w:val="left"/>
      </w:pPr>
      <w:r>
        <w:rPr>
          <w:rFonts w:ascii="Arial" w:cs="Arial" w:eastAsia="Arial" w:hAnsi="Arial"/>
          <w:b w:val="false"/>
          <w:bCs w:val="false"/>
          <w:i w:val="false"/>
          <w:iCs w:val="false"/>
          <w:color w:val="444444"/>
          <w:sz w:val="21"/>
          <w:szCs w:val="21"/>
        </w:rPr>
        <w:t xml:space="preserve">4. Small claims court complaint form from your county courthouse.</w:t>
      </w:r>
    </w:p>
    <w:p>
      <w:pPr>
        <w:spacing w:after="120"/>
        <w:ind w:left="360"/>
        <w:jc w:val="left"/>
      </w:pPr>
      <w:r>
        <w:rPr>
          <w:rFonts w:ascii="Arial" w:cs="Arial" w:eastAsia="Arial" w:hAnsi="Arial"/>
          <w:b w:val="false"/>
          <w:bCs w:val="false"/>
          <w:i w:val="false"/>
          <w:iCs w:val="false"/>
          <w:color w:val="444444"/>
          <w:sz w:val="21"/>
          <w:szCs w:val="21"/>
        </w:rPr>
        <w:t xml:space="preserve">5. Filing fee (typically $30-$75 depending on jurisdiction).</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Defendants — Who to Sue</w:t>
      </w:r>
    </w:p>
    <w:p>
      <w:pPr>
        <w:spacing w:after="120"/>
        <w:ind w:left="360"/>
        <w:jc w:val="left"/>
      </w:pPr>
      <w:r>
        <w:rPr>
          <w:rFonts w:ascii="Arial" w:cs="Arial" w:eastAsia="Arial" w:hAnsi="Arial"/>
          <w:b w:val="false"/>
          <w:bCs w:val="false"/>
          <w:i w:val="false"/>
          <w:iCs w:val="false"/>
          <w:color w:val="444444"/>
          <w:sz w:val="21"/>
          <w:szCs w:val="21"/>
        </w:rPr>
        <w:t xml:space="preserve">— Credit Bureau: </w:t>
      </w:r>
      <w:r>
        <w:rPr>
          <w:rFonts w:ascii="Arial" w:cs="Arial" w:eastAsia="Arial" w:hAnsi="Arial"/>
          <w:b/>
          <w:bCs/>
          <w:i/>
          <w:iCs/>
          <w:color w:val="2C5530"/>
          <w:sz w:val="21"/>
          <w:szCs w:val="21"/>
        </w:rPr>
        <w:t xml:space="preserve">[Bureau name]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[Registered Agent in your state — look up at your Secretary of State's website]</w:t>
      </w:r>
      <w:r>
        <w:rPr>
          <w:rFonts w:ascii="Arial" w:cs="Arial" w:eastAsia="Arial" w:hAnsi="Arial"/>
          <w:b w:val="false"/>
          <w:bCs w:val="false"/>
          <w:i w:val="false"/>
          <w:iCs w:val="false"/>
          <w:color w:val="444444"/>
          <w:sz w:val="21"/>
          <w:szCs w:val="21"/>
        </w:rPr>
        <w:t xml:space="preserve"/>
      </w:r>
    </w:p>
    <w:p>
      <w:pPr>
        <w:spacing w:after="120"/>
        <w:ind w:left="360"/>
        <w:jc w:val="left"/>
      </w:pPr>
      <w:r>
        <w:rPr>
          <w:rFonts w:ascii="Arial" w:cs="Arial" w:eastAsia="Arial" w:hAnsi="Arial"/>
          <w:b w:val="false"/>
          <w:bCs w:val="false"/>
          <w:i w:val="false"/>
          <w:iCs w:val="false"/>
          <w:color w:val="444444"/>
          <w:sz w:val="21"/>
          <w:szCs w:val="21"/>
        </w:rPr>
        <w:t xml:space="preserve">— Data Furnisher: </w:t>
      </w:r>
      <w:r>
        <w:rPr>
          <w:rFonts w:ascii="Arial" w:cs="Arial" w:eastAsia="Arial" w:hAnsi="Arial"/>
          <w:b/>
          <w:bCs/>
          <w:i/>
          <w:iCs/>
          <w:color w:val="2C5530"/>
          <w:sz w:val="21"/>
          <w:szCs w:val="21"/>
        </w:rPr>
        <w:t xml:space="preserve">[Creditor/Collector name]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[Registered Agent]</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Damages to Claim</w:t>
      </w:r>
    </w:p>
    <w:p>
      <w:pPr>
        <w:spacing w:after="120"/>
        <w:ind w:left="360"/>
        <w:jc w:val="left"/>
      </w:pPr>
      <w:r>
        <w:rPr>
          <w:rFonts w:ascii="Arial" w:cs="Arial" w:eastAsia="Arial" w:hAnsi="Arial"/>
          <w:b w:val="false"/>
          <w:bCs w:val="false"/>
          <w:i w:val="false"/>
          <w:iCs w:val="false"/>
          <w:color w:val="444444"/>
          <w:sz w:val="21"/>
          <w:szCs w:val="21"/>
        </w:rPr>
        <w:t xml:space="preserve">— Statutory damages: $100-$1,000 per FCRA violation (Section 616)</w:t>
      </w:r>
    </w:p>
    <w:p>
      <w:pPr>
        <w:spacing w:after="120"/>
        <w:ind w:left="360"/>
        <w:jc w:val="left"/>
      </w:pPr>
      <w:r>
        <w:rPr>
          <w:rFonts w:ascii="Arial" w:cs="Arial" w:eastAsia="Arial" w:hAnsi="Arial"/>
          <w:b w:val="false"/>
          <w:bCs w:val="false"/>
          <w:i w:val="false"/>
          <w:iCs w:val="false"/>
          <w:color w:val="444444"/>
          <w:sz w:val="21"/>
          <w:szCs w:val="21"/>
        </w:rPr>
        <w:t xml:space="preserve">— Actual damages: concrete losses from the inaccurate reporting</w:t>
      </w:r>
    </w:p>
    <w:p>
      <w:pPr>
        <w:spacing w:after="120"/>
        <w:ind w:left="360"/>
        <w:jc w:val="left"/>
      </w:pPr>
      <w:r>
        <w:rPr>
          <w:rFonts w:ascii="Arial" w:cs="Arial" w:eastAsia="Arial" w:hAnsi="Arial"/>
          <w:b w:val="false"/>
          <w:bCs w:val="false"/>
          <w:i w:val="false"/>
          <w:iCs w:val="false"/>
          <w:color w:val="444444"/>
          <w:sz w:val="21"/>
          <w:szCs w:val="21"/>
        </w:rPr>
        <w:t xml:space="preserve">— Emotional distress: documented stress, anxiety, lost sleep</w:t>
      </w:r>
    </w:p>
    <w:p>
      <w:pPr>
        <w:spacing w:after="120"/>
        <w:ind w:left="360"/>
        <w:jc w:val="left"/>
      </w:pPr>
      <w:r>
        <w:rPr>
          <w:rFonts w:ascii="Arial" w:cs="Arial" w:eastAsia="Arial" w:hAnsi="Arial"/>
          <w:b w:val="false"/>
          <w:bCs w:val="false"/>
          <w:i w:val="false"/>
          <w:iCs w:val="false"/>
          <w:color w:val="444444"/>
          <w:sz w:val="21"/>
          <w:szCs w:val="21"/>
        </w:rPr>
        <w:t xml:space="preserve">— Out-of-pocket costs: certified mail costs, report fees, filing fees</w:t>
      </w:r>
    </w:p>
    <w:p>
      <w:pPr>
        <w:spacing w:after="60"/>
      </w:pPr>
      <w:r>
        <w:rPr>
          <w:rFonts w:ascii="Arial" w:cs="Arial" w:eastAsia="Arial" w:hAnsi="Arial"/>
          <w:sz w:val="2"/>
          <w:szCs w:val="2"/>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Many bureaus settle before the hearing date because sending an attorney to small claims court costs them more than the claim. File in the county where you live. Serve the defendant's registered agent in your state.</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2026-03-03T20:10:08.529Z</dcterms:created>
  <dcterms:modified xsi:type="dcterms:W3CDTF">2026-03-03T20:10:08.529Z</dcterms:modified>
</cp:coreProperties>
</file>

<file path=docProps/custom.xml><?xml version="1.0" encoding="utf-8"?>
<Properties xmlns="http://schemas.openxmlformats.org/officeDocument/2006/custom-properties" xmlns:vt="http://schemas.openxmlformats.org/officeDocument/2006/docPropsVTypes"/>
</file>