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CFPB Complaint Template: Data Furnisher / Creditor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You sent a Section 623 direct dispute to the creditor or data furnisher, and they failed to investigate, refused to correct the error, or continued reporting inaccurate information to the bureaus.</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623 (15 U.S.C. § 1681s-2) — furnisher duties upon notice of dispute; Consumer Financial Protection Act (12 U.S.C. § 5531).</w:t>
      </w:r>
    </w:p>
    <w:p>
      <w:pPr>
        <w:spacing w:after="60"/>
      </w:pPr>
    </w:p>
    <w:p>
      <w:pPr>
        <w:spacing w:after="120"/>
        <w:jc w:val="left"/>
      </w:pPr>
      <w:r>
        <w:rPr>
          <w:rFonts w:ascii="Arial" w:cs="Arial" w:eastAsia="Arial" w:hAnsi="Arial"/>
          <w:b w:val="false"/>
          <w:bCs w:val="false"/>
          <w:i w:val="false"/>
          <w:iCs w:val="false"/>
          <w:color w:val="888888"/>
          <w:sz w:val="21"/>
          <w:szCs w:val="21"/>
        </w:rPr>
        <w:t xml:space="preserve">NOTE: Submit at consumerfinance.gov/complaint.</w:t>
      </w:r>
    </w:p>
    <w:p>
      <w:pPr>
        <w:spacing w:after="60"/>
      </w:pPr>
    </w:p>
    <w:p>
      <w:pPr>
        <w:spacing w:after="120"/>
        <w:jc w:val="left"/>
      </w:pPr>
      <w:r>
        <w:rPr>
          <w:rFonts w:ascii="Arial" w:cs="Arial" w:eastAsia="Arial" w:hAnsi="Arial"/>
          <w:b/>
          <w:bCs/>
          <w:i w:val="false"/>
          <w:iCs w:val="false"/>
          <w:color w:val="444444"/>
          <w:sz w:val="21"/>
          <w:szCs w:val="21"/>
        </w:rPr>
        <w:t xml:space="preserve">COMPLAINT NARRATIVE:</w:t>
      </w:r>
    </w:p>
    <w:p>
      <w:pPr>
        <w:spacing w:after="30"/>
      </w:pPr>
    </w:p>
    <w:p>
      <w:pPr>
        <w:spacing w:after="120"/>
        <w:jc w:val="left"/>
      </w:pPr>
      <w:r>
        <w:rPr>
          <w:rFonts w:ascii="Arial" w:cs="Arial" w:eastAsia="Arial" w:hAnsi="Arial"/>
          <w:b w:val="false"/>
          <w:bCs w:val="false"/>
          <w:i w:val="false"/>
          <w:iCs w:val="false"/>
          <w:color w:val="2C5530"/>
          <w:sz w:val="21"/>
          <w:szCs w:val="21"/>
        </w:rPr>
        <w:t xml:space="preserve"/>
      </w:r>
      <w:r>
        <w:rPr>
          <w:rFonts w:ascii="Arial" w:cs="Arial" w:eastAsia="Arial" w:hAnsi="Arial"/>
          <w:b/>
          <w:bCs/>
          <w:i/>
          <w:iCs/>
          <w:color w:val="2C5530"/>
          <w:sz w:val="21"/>
          <w:szCs w:val="21"/>
        </w:rPr>
        <w:t xml:space="preserve">[Customize the following]</w:t>
      </w:r>
      <w:r>
        <w:rPr>
          <w:rFonts w:ascii="Arial" w:cs="Arial" w:eastAsia="Arial" w:hAnsi="Arial"/>
          <w:b w:val="false"/>
          <w:bCs w:val="false"/>
          <w:i w:val="false"/>
          <w:iCs w:val="false"/>
          <w:color w:val="2C5530"/>
          <w:sz w:val="21"/>
          <w:szCs w:val="21"/>
        </w:rPr>
        <w:t xml:space="preserve"/>
      </w:r>
    </w:p>
    <w:p>
      <w:pPr>
        <w:spacing w:after="30"/>
      </w:pPr>
    </w:p>
    <w:p>
      <w:pPr>
        <w:spacing w:after="120"/>
        <w:jc w:val="left"/>
      </w:pPr>
      <w:r>
        <w:rPr>
          <w:rFonts w:ascii="Arial" w:cs="Arial" w:eastAsia="Arial" w:hAnsi="Arial"/>
          <w:b w:val="false"/>
          <w:bCs w:val="false"/>
          <w:i w:val="false"/>
          <w:iCs w:val="false"/>
          <w:color w:val="444444"/>
          <w:sz w:val="21"/>
          <w:szCs w:val="21"/>
        </w:rPr>
        <w:t xml:space="preserve">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I sent a direct dispute letter via certified mail (tracking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to </w:t>
      </w:r>
      <w:r>
        <w:rPr>
          <w:rFonts w:ascii="Arial" w:cs="Arial" w:eastAsia="Arial" w:hAnsi="Arial"/>
          <w:b/>
          <w:bCs/>
          <w:i/>
          <w:iCs/>
          <w:color w:val="2C5530"/>
          <w:sz w:val="21"/>
          <w:szCs w:val="21"/>
        </w:rPr>
        <w:t xml:space="preserve">[Creditor/Furnisher Name]</w:t>
      </w:r>
      <w:r>
        <w:rPr>
          <w:rFonts w:ascii="Arial" w:cs="Arial" w:eastAsia="Arial" w:hAnsi="Arial"/>
          <w:b w:val="false"/>
          <w:bCs w:val="false"/>
          <w:i w:val="false"/>
          <w:iCs w:val="false"/>
          <w:color w:val="444444"/>
          <w:sz w:val="21"/>
          <w:szCs w:val="21"/>
        </w:rPr>
        <w:t xml:space="preserve"> at </w:t>
      </w:r>
      <w:r>
        <w:rPr>
          <w:rFonts w:ascii="Arial" w:cs="Arial" w:eastAsia="Arial" w:hAnsi="Arial"/>
          <w:b/>
          <w:bCs/>
          <w:i/>
          <w:iCs/>
          <w:color w:val="2C5530"/>
          <w:sz w:val="21"/>
          <w:szCs w:val="21"/>
        </w:rPr>
        <w:t xml:space="preserve">[Address]</w:t>
      </w:r>
      <w:r>
        <w:rPr>
          <w:rFonts w:ascii="Arial" w:cs="Arial" w:eastAsia="Arial" w:hAnsi="Arial"/>
          <w:b w:val="false"/>
          <w:bCs w:val="false"/>
          <w:i w:val="false"/>
          <w:iCs w:val="false"/>
          <w:color w:val="444444"/>
          <w:sz w:val="21"/>
          <w:szCs w:val="21"/>
        </w:rPr>
        <w:t xml:space="preserve">, disputing inaccurate information they are reporting to the credit bureaus.</w:t>
      </w:r>
    </w:p>
    <w:p>
      <w:pPr>
        <w:spacing w:after="30"/>
      </w:pPr>
    </w:p>
    <w:p>
      <w:pPr>
        <w:spacing w:after="0"/>
        <w:ind w:left="360"/>
        <w:jc w:val="left"/>
      </w:pPr>
      <w:r>
        <w:rPr>
          <w:rFonts w:ascii="Arial" w:cs="Arial" w:eastAsia="Arial" w:hAnsi="Arial"/>
          <w:b w:val="false"/>
          <w:bCs w:val="false"/>
          <w:i w:val="false"/>
          <w:iCs w:val="false"/>
          <w:color w:val="444444"/>
          <w:sz w:val="21"/>
          <w:szCs w:val="21"/>
        </w:rPr>
        <w:t xml:space="preserve">Account: </w:t>
      </w:r>
      <w:r>
        <w:rPr>
          <w:rFonts w:ascii="Arial" w:cs="Arial" w:eastAsia="Arial" w:hAnsi="Arial"/>
          <w:b/>
          <w:bCs/>
          <w:i/>
          <w:iCs/>
          <w:color w:val="2C5530"/>
          <w:sz w:val="21"/>
          <w:szCs w:val="21"/>
        </w:rPr>
        <w:t xml:space="preserve">[Name / Number]</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Inaccuracy: </w:t>
      </w:r>
      <w:r>
        <w:rPr>
          <w:rFonts w:ascii="Arial" w:cs="Arial" w:eastAsia="Arial" w:hAnsi="Arial"/>
          <w:b/>
          <w:bCs/>
          <w:i/>
          <w:iCs/>
          <w:color w:val="2C5530"/>
          <w:sz w:val="21"/>
          <w:szCs w:val="21"/>
        </w:rPr>
        <w:t xml:space="preserve">[Specific error being reported]</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Evidence Provided: </w:t>
      </w:r>
      <w:r>
        <w:rPr>
          <w:rFonts w:ascii="Arial" w:cs="Arial" w:eastAsia="Arial" w:hAnsi="Arial"/>
          <w:b/>
          <w:bCs/>
          <w:i/>
          <w:iCs/>
          <w:color w:val="2C5530"/>
          <w:sz w:val="21"/>
          <w:szCs w:val="21"/>
        </w:rPr>
        <w:t xml:space="preserve">[What you sent with your dispute]</w:t>
      </w:r>
      <w:r>
        <w:rPr>
          <w:rFonts w:ascii="Arial" w:cs="Arial" w:eastAsia="Arial" w:hAnsi="Arial"/>
          <w:b w:val="false"/>
          <w:bCs w:val="false"/>
          <w:i w:val="false"/>
          <w:iCs w:val="false"/>
          <w:color w:val="444444"/>
          <w:sz w:val="21"/>
          <w:szCs w:val="21"/>
        </w:rPr>
        <w:t xml:space="preserve"/>
      </w:r>
    </w:p>
    <w:p>
      <w:pPr>
        <w:spacing w:after="3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[Describe what happened after — e.g.:]</w:t>
      </w:r>
      <w:r>
        <w:rPr>
          <w:rFonts w:ascii="Arial" w:cs="Arial" w:eastAsia="Arial" w:hAnsi="Arial"/>
          <w:b w:val="false"/>
          <w:bCs w:val="false"/>
          <w:i w:val="false"/>
          <w:iCs w:val="false"/>
          <w:color w:val="444444"/>
          <w:sz w:val="21"/>
          <w:szCs w:val="21"/>
        </w:rPr>
        <w:t xml:space="preserve"/>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Option A — No Response: As of </w:t>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days have passed since my dispute was received (per USPS tracking) and I have received no response. Under FCRA Section 623(b), furnishers must conduct an investigation upon receiving notice of a dispute.</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Option B — Inadequate Response: </w:t>
      </w:r>
      <w:r>
        <w:rPr>
          <w:rFonts w:ascii="Arial" w:cs="Arial" w:eastAsia="Arial" w:hAnsi="Arial"/>
          <w:b/>
          <w:bCs/>
          <w:i/>
          <w:iCs/>
          <w:color w:val="2C5530"/>
          <w:sz w:val="21"/>
          <w:szCs w:val="21"/>
        </w:rPr>
        <w:t xml:space="preserve">[Furnisher Name]</w:t>
      </w:r>
      <w:r>
        <w:rPr>
          <w:rFonts w:ascii="Arial" w:cs="Arial" w:eastAsia="Arial" w:hAnsi="Arial"/>
          <w:b w:val="false"/>
          <w:bCs w:val="false"/>
          <w:i w:val="false"/>
          <w:iCs w:val="false"/>
          <w:color w:val="444444"/>
          <w:sz w:val="21"/>
          <w:szCs w:val="21"/>
        </w:rPr>
        <w:t xml:space="preserve"> responded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but failed to conduct a reasonable investigation. They </w:t>
      </w:r>
      <w:r>
        <w:rPr>
          <w:rFonts w:ascii="Arial" w:cs="Arial" w:eastAsia="Arial" w:hAnsi="Arial"/>
          <w:b/>
          <w:bCs/>
          <w:i/>
          <w:iCs/>
          <w:color w:val="2C5530"/>
          <w:sz w:val="21"/>
          <w:szCs w:val="21"/>
        </w:rPr>
        <w:t xml:space="preserve">[describe — e.g., sent a form letter, did not address the specific errors I identified, continued reporting the same inaccurate information]</w:t>
      </w:r>
      <w:r>
        <w:rPr>
          <w:rFonts w:ascii="Arial" w:cs="Arial" w:eastAsia="Arial" w:hAnsi="Arial"/>
          <w:b w:val="false"/>
          <w:bCs w:val="false"/>
          <w:i w:val="false"/>
          <w:iCs w:val="false"/>
          <w:color w:val="444444"/>
          <w:sz w:val="21"/>
          <w:szCs w:val="21"/>
        </w:rPr>
        <w:t xml:space="preserve">.</w:t>
      </w:r>
    </w:p>
    <w:p>
      <w:pPr>
        <w:spacing w:after="30"/>
      </w:pPr>
    </w:p>
    <w:p>
      <w:pPr>
        <w:spacing w:after="120"/>
        <w:ind w:left="360"/>
        <w:jc w:val="left"/>
      </w:pPr>
      <w:r>
        <w:rPr>
          <w:rFonts w:ascii="Arial" w:cs="Arial" w:eastAsia="Arial" w:hAnsi="Arial"/>
          <w:b w:val="false"/>
          <w:bCs w:val="false"/>
          <w:i w:val="false"/>
          <w:iCs w:val="false"/>
          <w:color w:val="444444"/>
          <w:sz w:val="21"/>
          <w:szCs w:val="21"/>
        </w:rPr>
        <w:t xml:space="preserve">Option C — Continued Inaccurate Reporting: Despite being notified of the inaccuracy, </w:t>
      </w:r>
      <w:r>
        <w:rPr>
          <w:rFonts w:ascii="Arial" w:cs="Arial" w:eastAsia="Arial" w:hAnsi="Arial"/>
          <w:b/>
          <w:bCs/>
          <w:i/>
          <w:iCs/>
          <w:color w:val="2C5530"/>
          <w:sz w:val="21"/>
          <w:szCs w:val="21"/>
        </w:rPr>
        <w:t xml:space="preserve">[Furnisher Name]</w:t>
      </w:r>
      <w:r>
        <w:rPr>
          <w:rFonts w:ascii="Arial" w:cs="Arial" w:eastAsia="Arial" w:hAnsi="Arial"/>
          <w:b w:val="false"/>
          <w:bCs w:val="false"/>
          <w:i w:val="false"/>
          <w:iCs w:val="false"/>
          <w:color w:val="444444"/>
          <w:sz w:val="21"/>
          <w:szCs w:val="21"/>
        </w:rPr>
        <w:t xml:space="preserve"> continues to report </w:t>
      </w:r>
      <w:r>
        <w:rPr>
          <w:rFonts w:ascii="Arial" w:cs="Arial" w:eastAsia="Arial" w:hAnsi="Arial"/>
          <w:b/>
          <w:bCs/>
          <w:i/>
          <w:iCs/>
          <w:color w:val="2C5530"/>
          <w:sz w:val="21"/>
          <w:szCs w:val="21"/>
        </w:rPr>
        <w:t xml:space="preserve">[the inaccurate information]</w:t>
      </w:r>
      <w:r>
        <w:rPr>
          <w:rFonts w:ascii="Arial" w:cs="Arial" w:eastAsia="Arial" w:hAnsi="Arial"/>
          <w:b w:val="false"/>
          <w:bCs w:val="false"/>
          <w:i w:val="false"/>
          <w:iCs w:val="false"/>
          <w:color w:val="444444"/>
          <w:sz w:val="21"/>
          <w:szCs w:val="21"/>
        </w:rPr>
        <w:t xml:space="preserve"> to </w:t>
      </w:r>
      <w:r>
        <w:rPr>
          <w:rFonts w:ascii="Arial" w:cs="Arial" w:eastAsia="Arial" w:hAnsi="Arial"/>
          <w:b/>
          <w:bCs/>
          <w:i/>
          <w:iCs/>
          <w:color w:val="2C5530"/>
          <w:sz w:val="21"/>
          <w:szCs w:val="21"/>
        </w:rPr>
        <w:t xml:space="preserve">[Equifax / Experian / TransUnion]</w:t>
      </w:r>
      <w:r>
        <w:rPr>
          <w:rFonts w:ascii="Arial" w:cs="Arial" w:eastAsia="Arial" w:hAnsi="Arial"/>
          <w:b w:val="false"/>
          <w:bCs w:val="false"/>
          <w:i w:val="false"/>
          <w:iCs w:val="false"/>
          <w:color w:val="444444"/>
          <w:sz w:val="21"/>
          <w:szCs w:val="21"/>
        </w:rPr>
        <w:t xml:space="preserve">. I verified this by pulling my credit report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w:t>
      </w:r>
    </w:p>
    <w:p>
      <w:pPr>
        <w:spacing w:after="30"/>
      </w:pPr>
    </w:p>
    <w:p>
      <w:pPr>
        <w:spacing w:after="120"/>
        <w:jc w:val="left"/>
      </w:pPr>
      <w:r>
        <w:rPr>
          <w:rFonts w:ascii="Arial" w:cs="Arial" w:eastAsia="Arial" w:hAnsi="Arial"/>
          <w:b/>
          <w:bCs/>
          <w:i w:val="false"/>
          <w:iCs w:val="false"/>
          <w:color w:val="444444"/>
          <w:sz w:val="21"/>
          <w:szCs w:val="21"/>
        </w:rPr>
        <w:t xml:space="preserve">DESIRED RESOLUTION:</w:t>
      </w:r>
    </w:p>
    <w:p>
      <w:pPr>
        <w:spacing w:after="0"/>
        <w:ind w:left="360"/>
        <w:jc w:val="left"/>
      </w:pPr>
      <w:r>
        <w:rPr>
          <w:rFonts w:ascii="Arial" w:cs="Arial" w:eastAsia="Arial" w:hAnsi="Arial"/>
          <w:b w:val="false"/>
          <w:bCs w:val="false"/>
          <w:i w:val="false"/>
          <w:iCs w:val="false"/>
          <w:color w:val="444444"/>
          <w:sz w:val="21"/>
          <w:szCs w:val="21"/>
        </w:rPr>
        <w:t xml:space="preserve">1. </w:t>
      </w:r>
      <w:r>
        <w:rPr>
          <w:rFonts w:ascii="Arial" w:cs="Arial" w:eastAsia="Arial" w:hAnsi="Arial"/>
          <w:b/>
          <w:bCs/>
          <w:i/>
          <w:iCs/>
          <w:color w:val="2C5530"/>
          <w:sz w:val="21"/>
          <w:szCs w:val="21"/>
        </w:rPr>
        <w:t xml:space="preserve">[Furnisher Name]</w:t>
      </w:r>
      <w:r>
        <w:rPr>
          <w:rFonts w:ascii="Arial" w:cs="Arial" w:eastAsia="Arial" w:hAnsi="Arial"/>
          <w:b w:val="false"/>
          <w:bCs w:val="false"/>
          <w:i w:val="false"/>
          <w:iCs w:val="false"/>
          <w:color w:val="444444"/>
          <w:sz w:val="21"/>
          <w:szCs w:val="21"/>
        </w:rPr>
        <w:t xml:space="preserve"> investigates and corrects the inaccurate information.</w:t>
      </w:r>
    </w:p>
    <w:p>
      <w:pPr>
        <w:spacing w:after="0"/>
        <w:ind w:left="360"/>
        <w:jc w:val="left"/>
      </w:pPr>
      <w:r>
        <w:rPr>
          <w:rFonts w:ascii="Arial" w:cs="Arial" w:eastAsia="Arial" w:hAnsi="Arial"/>
          <w:b w:val="false"/>
          <w:bCs w:val="false"/>
          <w:i w:val="false"/>
          <w:iCs w:val="false"/>
          <w:color w:val="444444"/>
          <w:sz w:val="21"/>
          <w:szCs w:val="21"/>
        </w:rPr>
        <w:t xml:space="preserve">2. </w:t>
      </w:r>
      <w:r>
        <w:rPr>
          <w:rFonts w:ascii="Arial" w:cs="Arial" w:eastAsia="Arial" w:hAnsi="Arial"/>
          <w:b/>
          <w:bCs/>
          <w:i/>
          <w:iCs/>
          <w:color w:val="2C5530"/>
          <w:sz w:val="21"/>
          <w:szCs w:val="21"/>
        </w:rPr>
        <w:t xml:space="preserve">[Furnisher Name]</w:t>
      </w:r>
      <w:r>
        <w:rPr>
          <w:rFonts w:ascii="Arial" w:cs="Arial" w:eastAsia="Arial" w:hAnsi="Arial"/>
          <w:b w:val="false"/>
          <w:bCs w:val="false"/>
          <w:i w:val="false"/>
          <w:iCs w:val="false"/>
          <w:color w:val="444444"/>
          <w:sz w:val="21"/>
          <w:szCs w:val="21"/>
        </w:rPr>
        <w:t xml:space="preserve"> updates all three credit bureaus with the corrected information.</w:t>
      </w:r>
    </w:p>
    <w:p>
      <w:pPr>
        <w:spacing w:after="120"/>
        <w:ind w:left="360"/>
        <w:jc w:val="left"/>
      </w:pPr>
      <w:r>
        <w:rPr>
          <w:rFonts w:ascii="Arial" w:cs="Arial" w:eastAsia="Arial" w:hAnsi="Arial"/>
          <w:b w:val="false"/>
          <w:bCs w:val="false"/>
          <w:i w:val="false"/>
          <w:iCs w:val="false"/>
          <w:color w:val="444444"/>
          <w:sz w:val="21"/>
          <w:szCs w:val="21"/>
        </w:rPr>
        <w:t xml:space="preserve">3. </w:t>
      </w:r>
      <w:r>
        <w:rPr>
          <w:rFonts w:ascii="Arial" w:cs="Arial" w:eastAsia="Arial" w:hAnsi="Arial"/>
          <w:b/>
          <w:bCs/>
          <w:i/>
          <w:iCs/>
          <w:color w:val="2C5530"/>
          <w:sz w:val="21"/>
          <w:szCs w:val="21"/>
        </w:rPr>
        <w:t xml:space="preserve">[Furnisher Name]</w:t>
      </w:r>
      <w:r>
        <w:rPr>
          <w:rFonts w:ascii="Arial" w:cs="Arial" w:eastAsia="Arial" w:hAnsi="Arial"/>
          <w:b w:val="false"/>
          <w:bCs w:val="false"/>
          <w:i w:val="false"/>
          <w:iCs w:val="false"/>
          <w:color w:val="444444"/>
          <w:sz w:val="21"/>
          <w:szCs w:val="21"/>
        </w:rPr>
        <w:t xml:space="preserve"> provides me with written confirmation of the correction.</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File at consumerfinance.gov/complaint. Select 'Credit reporting' as the product and identify the furnisher (not the bureau) as the company. Attach copies of your dispute letter, certified mail receipt, and the furnisher's response (or evidence of no response). The CFPB will forward the complaint and the company must respond within 15 days.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2026-03-03T19:10:01.356Z</dcterms:created>
  <dcterms:modified xsi:type="dcterms:W3CDTF">2026-03-03T19:10:01.356Z</dcterms:modified>
</cp:coreProperties>
</file>

<file path=docProps/custom.xml><?xml version="1.0" encoding="utf-8"?>
<Properties xmlns="http://schemas.openxmlformats.org/officeDocument/2006/custom-properties" xmlns:vt="http://schemas.openxmlformats.org/officeDocument/2006/docPropsVTypes"/>
</file>