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Section 623: Direct Furnisher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Use this to dispute directly with the original creditor (the 'furnisher') AFTER you have already disputed with the credit bureau and the item was not removed. Section 623 creates additional legal obligations on the furnisher once they receive notice from the bureau.</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623(b) (15 U.S.C. § 1681s-2(b)) — upon receiving notice of a dispute from a bureau, the furnisher must: (1) conduct an investigation, (2) review all relevant information, (3) report results to the bureau, and (4) modify/delete if inaccurate. Also Section 623(a)(1)(A) — prohibits reporting known inaccurate information.</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[Original Creditor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[Department: Credit Disputes / Customer Relations]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Direct Dispute of Inaccurate Information Furnished to Credit Bureaus</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[Your Account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Type: </w:t>
      </w:r>
      <w:r>
        <w:rPr>
          <w:rFonts w:ascii="Arial" w:cs="Arial" w:eastAsia="Arial" w:hAnsi="Arial"/>
          <w:b/>
          <w:bCs/>
          <w:i/>
          <w:iCs/>
          <w:color w:val="2C5530"/>
          <w:sz w:val="21"/>
          <w:szCs w:val="21"/>
        </w:rPr>
        <w:t xml:space="preserve">[Credit Card / Auto Loan / Mortgage / Other]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Information Disputed: </w:t>
      </w:r>
      <w:r>
        <w:rPr>
          <w:rFonts w:ascii="Arial" w:cs="Arial" w:eastAsia="Arial" w:hAnsi="Arial"/>
          <w:b/>
          <w:bCs/>
          <w:i/>
          <w:iCs/>
          <w:color w:val="2C5530"/>
          <w:sz w:val="21"/>
          <w:szCs w:val="21"/>
        </w:rPr>
        <w:t xml:space="preserve">[Brief description]</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information you are furnishing to one or more consumer reporting agencies regarding the above account, pursuant to my rights under FCRA Section 623 (15 U.S.C. § 1681s-2).</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previously disputed this information with </w:t>
      </w:r>
      <w:r>
        <w:rPr>
          <w:rFonts w:ascii="Arial" w:cs="Arial" w:eastAsia="Arial" w:hAnsi="Arial"/>
          <w:b/>
          <w:bCs/>
          <w:i/>
          <w:iCs/>
          <w:color w:val="2C5530"/>
          <w:sz w:val="21"/>
          <w:szCs w:val="21"/>
        </w:rPr>
        <w:t xml:space="preserve">[Equifax / Experian / TransUnion]</w:t>
      </w:r>
      <w:r>
        <w:rPr>
          <w:rFonts w:ascii="Arial" w:cs="Arial" w:eastAsia="Arial" w:hAnsi="Arial"/>
          <w:b w:val="false"/>
          <w:bCs w:val="false"/>
          <w:i w:val="false"/>
          <w:iCs w:val="false"/>
          <w:color w:val="444444"/>
          <w:sz w:val="21"/>
          <w:szCs w:val="21"/>
        </w:rPr>
        <w:t xml:space="preserve">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The bureau conducted an investigation and the item was verified. However, I believe the information you are furnishing is inaccurate.</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The specific inaccuracy is:</w:t>
      </w:r>
    </w:p>
    <w:p>
      <w:pPr>
        <w:spacing w:after="40"/>
        <w:jc w:val="left"/>
      </w:pPr>
      <w:r>
        <w:rPr>
          <w:rFonts w:ascii="Arial" w:cs="Arial" w:eastAsia="Arial" w:hAnsi="Arial"/>
          <w:b w:val="false"/>
          <w:bCs w:val="false"/>
          <w:i w:val="false"/>
          <w:iCs w:val="false"/>
          <w:color w:val="444444"/>
          <w:sz w:val="21"/>
          <w:szCs w:val="21"/>
        </w:rPr>
        <w:t xml:space="preserve">[Describe the error. Examples:</w:t>
      </w:r>
    </w:p>
    <w:p>
      <w:pPr>
        <w:spacing w:after="40"/>
        <w:ind w:left="360"/>
        <w:jc w:val="left"/>
      </w:pPr>
      <w:r>
        <w:rPr>
          <w:rFonts w:ascii="Arial" w:cs="Arial" w:eastAsia="Arial" w:hAnsi="Arial"/>
          <w:b w:val="false"/>
          <w:bCs w:val="false"/>
          <w:i w:val="false"/>
          <w:iCs w:val="false"/>
          <w:color w:val="444444"/>
          <w:sz w:val="21"/>
          <w:szCs w:val="21"/>
        </w:rPr>
        <w:t xml:space="preserve">• "You are reporting a late payment for </w:t>
      </w:r>
      <w:r>
        <w:rPr>
          <w:rFonts w:ascii="Arial" w:cs="Arial" w:eastAsia="Arial" w:hAnsi="Arial"/>
          <w:b/>
          <w:bCs/>
          <w:i/>
          <w:iCs/>
          <w:color w:val="2C5530"/>
          <w:sz w:val="21"/>
          <w:szCs w:val="21"/>
        </w:rPr>
        <w:t xml:space="preserve">[Month/Year]</w:t>
      </w:r>
      <w:r>
        <w:rPr>
          <w:rFonts w:ascii="Arial" w:cs="Arial" w:eastAsia="Arial" w:hAnsi="Arial"/>
          <w:b w:val="false"/>
          <w:bCs w:val="false"/>
          <w:i w:val="false"/>
          <w:iCs w:val="false"/>
          <w:color w:val="444444"/>
          <w:sz w:val="21"/>
          <w:szCs w:val="21"/>
        </w:rPr>
        <w:t xml:space="preserve">. My records show I paid on time. Bank statement enclosed."</w:t>
      </w:r>
    </w:p>
    <w:p>
      <w:pPr>
        <w:spacing w:after="40"/>
        <w:ind w:left="360"/>
        <w:jc w:val="left"/>
      </w:pPr>
      <w:r>
        <w:rPr>
          <w:rFonts w:ascii="Arial" w:cs="Arial" w:eastAsia="Arial" w:hAnsi="Arial"/>
          <w:b w:val="false"/>
          <w:bCs w:val="false"/>
          <w:i w:val="false"/>
          <w:iCs w:val="false"/>
          <w:color w:val="444444"/>
          <w:sz w:val="21"/>
          <w:szCs w:val="21"/>
        </w:rPr>
        <w:t xml:space="preserve">• "You are reporting a balance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This account was paid in full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Confirmation enclosed."</w:t>
      </w:r>
    </w:p>
    <w:p>
      <w:pPr>
        <w:spacing w:after="40"/>
        <w:ind w:left="360"/>
        <w:jc w:val="left"/>
      </w:pPr>
      <w:r>
        <w:rPr>
          <w:rFonts w:ascii="Arial" w:cs="Arial" w:eastAsia="Arial" w:hAnsi="Arial"/>
          <w:b w:val="false"/>
          <w:bCs w:val="false"/>
          <w:i w:val="false"/>
          <w:iCs w:val="false"/>
          <w:color w:val="444444"/>
          <w:sz w:val="21"/>
          <w:szCs w:val="21"/>
        </w:rPr>
        <w:t xml:space="preserve">• "You are reporting this as a charge-off with a balance. This account was settled for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and should show $0."</w:t>
      </w:r>
    </w:p>
    <w:p>
      <w:pPr>
        <w:spacing w:after="120"/>
        <w:ind w:left="360"/>
        <w:jc w:val="left"/>
      </w:pPr>
      <w:r>
        <w:rPr>
          <w:rFonts w:ascii="Arial" w:cs="Arial" w:eastAsia="Arial" w:hAnsi="Arial"/>
          <w:b w:val="false"/>
          <w:bCs w:val="false"/>
          <w:i w:val="false"/>
          <w:iCs w:val="false"/>
          <w:color w:val="444444"/>
          <w:sz w:val="21"/>
          <w:szCs w:val="21"/>
        </w:rPr>
        <w:t xml:space="preserve">• "You are reporting this account as mine. I did not open this account and it is not my debt."]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623(b), when you receive notice of a dispute from a consumer reporting agency, you are required to:</w:t>
      </w:r>
    </w:p>
    <w:p>
      <w:pPr>
        <w:spacing w:after="40"/>
        <w:ind w:left="360"/>
        <w:jc w:val="left"/>
      </w:pPr>
      <w:r>
        <w:rPr>
          <w:rFonts w:ascii="Arial" w:cs="Arial" w:eastAsia="Arial" w:hAnsi="Arial"/>
          <w:b w:val="false"/>
          <w:bCs w:val="false"/>
          <w:i w:val="false"/>
          <w:iCs w:val="false"/>
          <w:color w:val="444444"/>
          <w:sz w:val="21"/>
          <w:szCs w:val="21"/>
        </w:rPr>
        <w:t xml:space="preserve">1. Conduct an investigation with respect to the disputed information.</w:t>
      </w:r>
    </w:p>
    <w:p>
      <w:pPr>
        <w:spacing w:after="40"/>
        <w:ind w:left="360"/>
        <w:jc w:val="left"/>
      </w:pPr>
      <w:r>
        <w:rPr>
          <w:rFonts w:ascii="Arial" w:cs="Arial" w:eastAsia="Arial" w:hAnsi="Arial"/>
          <w:b w:val="false"/>
          <w:bCs w:val="false"/>
          <w:i w:val="false"/>
          <w:iCs w:val="false"/>
          <w:color w:val="444444"/>
          <w:sz w:val="21"/>
          <w:szCs w:val="21"/>
        </w:rPr>
        <w:t xml:space="preserve">2. Review all relevant information provided by the consumer reporting agency.</w:t>
      </w:r>
    </w:p>
    <w:p>
      <w:pPr>
        <w:spacing w:after="40"/>
        <w:ind w:left="360"/>
        <w:jc w:val="left"/>
      </w:pPr>
      <w:r>
        <w:rPr>
          <w:rFonts w:ascii="Arial" w:cs="Arial" w:eastAsia="Arial" w:hAnsi="Arial"/>
          <w:b w:val="false"/>
          <w:bCs w:val="false"/>
          <w:i w:val="false"/>
          <w:iCs w:val="false"/>
          <w:color w:val="444444"/>
          <w:sz w:val="21"/>
          <w:szCs w:val="21"/>
        </w:rPr>
        <w:t xml:space="preserve">3. Report the results of the investigation to the consumer reporting agency.</w:t>
      </w:r>
    </w:p>
    <w:p>
      <w:pPr>
        <w:spacing w:after="120"/>
        <w:ind w:left="360"/>
        <w:jc w:val="left"/>
      </w:pPr>
      <w:r>
        <w:rPr>
          <w:rFonts w:ascii="Arial" w:cs="Arial" w:eastAsia="Arial" w:hAnsi="Arial"/>
          <w:b w:val="false"/>
          <w:bCs w:val="false"/>
          <w:i w:val="false"/>
          <w:iCs w:val="false"/>
          <w:color w:val="444444"/>
          <w:sz w:val="21"/>
          <w:szCs w:val="21"/>
        </w:rPr>
        <w:t xml:space="preserve">4. If the investigation finds the information is inaccurate, incomplete, or unverifiable, report the corrected information to ALL bureaus to which you furnished it.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Failure to conduct a reasonable investigation or to correct inaccurate information may expose you to liability under FCRA Section 623(c), including actual damages, statutory damages, and attorney’s fees.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Please investigate and correct this information within 30 days.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showing disputed information</w:t>
      </w:r>
    </w:p>
    <w:p>
      <w:pPr>
        <w:spacing w:after="0"/>
        <w:ind w:left="360"/>
        <w:jc w:val="left"/>
      </w:pPr>
      <w:r>
        <w:rPr>
          <w:rFonts w:ascii="Arial" w:cs="Arial" w:eastAsia="Arial" w:hAnsi="Arial"/>
          <w:b w:val="false"/>
          <w:bCs w:val="false"/>
          <w:i w:val="false"/>
          <w:iCs w:val="false"/>
          <w:color w:val="444444"/>
          <w:sz w:val="21"/>
          <w:szCs w:val="21"/>
        </w:rPr>
        <w:t xml:space="preserve">- Copy of previous bureau dispute and response</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[Supporting documentation: bank statements, payment confirmations, etc.]</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This creates a private right of action under Section 623(b) — meaning you can sue the furnisher if they fail to properly investigate after receiving notice from the bureau. The key is that you must have FIRST disputed through the bureau. Send via certified mail. This is a critical step in the 4-Round Dispute System.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2026-03-03T18:51:30.488Z</dcterms:created>
  <dcterms:modified xsi:type="dcterms:W3CDTF">2026-03-03T18:51:30.489Z</dcterms:modified>
</cp:coreProperties>
</file>

<file path=docProps/custom.xml><?xml version="1.0" encoding="utf-8"?>
<Properties xmlns="http://schemas.openxmlformats.org/officeDocument/2006/custom-properties" xmlns:vt="http://schemas.openxmlformats.org/officeDocument/2006/docPropsVTypes"/>
</file>