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Metro 2 Compliance Dispute</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An account is reported with data that violates Metro 2 reporting standards — the technical format used by all data furnishers to report to credit bureaus. Common violations: incorrect account status codes, missing dates, conflicting balance and payment data, wrong account type codes.</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623(a)(1) (15 U.S.C. § 1681s-2(a)(1)) — furnishers must report accurate information. FCRA Section 607(b) — bureaus must follow reasonable procedures for accuracy. Metro 2 Format published by CDIA is the industry standard for accuracy.</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888888"/>
          <w:sz w:val="21"/>
          <w:szCs w:val="21"/>
        </w:rPr>
        <w:t xml:space="preserve">NOTE: Metro 2 is a technical reporting format. This letter is for situations where you can identify specific coding errors — for example, an account showing 'Open' status with a 'Charge-Off' payment rating, or a closed account reporting monthly payment activity.</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[Bureau Mailing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Dispute Based on Metro 2 Reporting Violations</w:t>
      </w:r>
    </w:p>
    <w:p>
      <w:pPr>
        <w:spacing w:after="3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Creditor/Furnisher: </w:t>
      </w:r>
      <w:r>
        <w:rPr>
          <w:rFonts w:ascii="Arial" w:cs="Arial" w:eastAsia="Arial" w:hAnsi="Arial"/>
          <w:b/>
          <w:bCs/>
          <w:i/>
          <w:iCs/>
          <w:color w:val="2C5530"/>
          <w:sz w:val="21"/>
          <w:szCs w:val="21"/>
        </w:rPr>
        <w:t xml:space="preserve">[Name]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to dispute the above-referenced account based on errors that violate the Metro 2 Format reporting standards, pursuant to FCRA Section 611 (15 U.S.C. § 1681i).</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After reviewing my credit report, I have identified the following Metro 2 reporting inconsistencies:</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
      </w:r>
      <w:r>
        <w:rPr>
          <w:rFonts w:ascii="Arial" w:cs="Arial" w:eastAsia="Arial" w:hAnsi="Arial"/>
          <w:b/>
          <w:bCs/>
          <w:i/>
          <w:iCs/>
          <w:color w:val="2C5530"/>
          <w:sz w:val="21"/>
          <w:szCs w:val="21"/>
        </w:rPr>
        <w:t xml:space="preserve">[Choose the applicable violations:]</w:t>
      </w:r>
      <w:r>
        <w:rPr>
          <w:rFonts w:ascii="Arial" w:cs="Arial" w:eastAsia="Arial" w:hAnsi="Arial"/>
          <w:b/>
          <w:bCs/>
          <w:i w:val="false"/>
          <w:iCs w:val="false"/>
          <w:color w:val="444444"/>
          <w:sz w:val="21"/>
          <w:szCs w:val="21"/>
        </w:rPr>
        <w:t xml:space="preserve"/>
      </w:r>
    </w:p>
    <w:p>
      <w:pPr>
        <w:spacing w:after="30"/>
      </w:pPr>
      <w:r>
        <w:rPr>
          <w:rFonts w:ascii="Arial" w:cs="Arial" w:eastAsia="Arial" w:hAnsi="Arial"/>
          <w:sz w:val="2"/>
          <w:szCs w:val="2"/>
        </w:rPr>
        <w:t xml:space="preserve"/>
      </w:r>
    </w:p>
    <w:p>
      <w:pPr>
        <w:spacing w:after="120"/>
        <w:ind w:left="360"/>
        <w:jc w:val="left"/>
      </w:pPr>
      <w:r>
        <w:rPr>
          <w:rFonts w:ascii="Arial" w:cs="Arial" w:eastAsia="Arial" w:hAnsi="Arial"/>
          <w:b w:val="false"/>
          <w:bCs w:val="false"/>
          <w:i w:val="false"/>
          <w:iCs w:val="false"/>
          <w:color w:val="444444"/>
          <w:sz w:val="21"/>
          <w:szCs w:val="21"/>
        </w:rPr>
        <w:t xml:space="preserve">• Account Status Code vs. Payment Rating: The account status shows </w:t>
      </w:r>
      <w:r>
        <w:rPr>
          <w:rFonts w:ascii="Arial" w:cs="Arial" w:eastAsia="Arial" w:hAnsi="Arial"/>
          <w:b/>
          <w:bCs/>
          <w:i/>
          <w:iCs/>
          <w:color w:val="2C5530"/>
          <w:sz w:val="21"/>
          <w:szCs w:val="21"/>
        </w:rPr>
        <w:t xml:space="preserve">[Code, e.g., 'Open/11']</w:t>
      </w:r>
      <w:r>
        <w:rPr>
          <w:rFonts w:ascii="Arial" w:cs="Arial" w:eastAsia="Arial" w:hAnsi="Arial"/>
          <w:b w:val="false"/>
          <w:bCs w:val="false"/>
          <w:i w:val="false"/>
          <w:iCs w:val="false"/>
          <w:color w:val="444444"/>
          <w:sz w:val="21"/>
          <w:szCs w:val="21"/>
        </w:rPr>
        <w:t xml:space="preserve"> but the payment rating shows </w:t>
      </w:r>
      <w:r>
        <w:rPr>
          <w:rFonts w:ascii="Arial" w:cs="Arial" w:eastAsia="Arial" w:hAnsi="Arial"/>
          <w:b/>
          <w:bCs/>
          <w:i/>
          <w:iCs/>
          <w:color w:val="2C5530"/>
          <w:sz w:val="21"/>
          <w:szCs w:val="21"/>
        </w:rPr>
        <w:t xml:space="preserve">[Code, e.g., '97 (Charge-Off)']</w:t>
      </w:r>
      <w:r>
        <w:rPr>
          <w:rFonts w:ascii="Arial" w:cs="Arial" w:eastAsia="Arial" w:hAnsi="Arial"/>
          <w:b w:val="false"/>
          <w:bCs w:val="false"/>
          <w:i w:val="false"/>
          <w:iCs w:val="false"/>
          <w:color w:val="444444"/>
          <w:sz w:val="21"/>
          <w:szCs w:val="21"/>
        </w:rPr>
        <w:t xml:space="preserve">. These codes are contradictory under Metro 2 standards.</w:t>
      </w:r>
    </w:p>
    <w:p>
      <w:pPr>
        <w:spacing w:after="120"/>
        <w:ind w:left="360"/>
        <w:jc w:val="left"/>
      </w:pPr>
      <w:r>
        <w:rPr>
          <w:rFonts w:ascii="Arial" w:cs="Arial" w:eastAsia="Arial" w:hAnsi="Arial"/>
          <w:b w:val="false"/>
          <w:bCs w:val="false"/>
          <w:i w:val="false"/>
          <w:iCs w:val="false"/>
          <w:color w:val="444444"/>
          <w:sz w:val="21"/>
          <w:szCs w:val="21"/>
        </w:rPr>
        <w:t xml:space="preserve">• Balance vs. Account Status: The account shows a status of </w:t>
      </w:r>
      <w:r>
        <w:rPr>
          <w:rFonts w:ascii="Arial" w:cs="Arial" w:eastAsia="Arial" w:hAnsi="Arial"/>
          <w:b/>
          <w:bCs/>
          <w:i/>
          <w:iCs/>
          <w:color w:val="2C5530"/>
          <w:sz w:val="21"/>
          <w:szCs w:val="21"/>
        </w:rPr>
        <w:t xml:space="preserve">[Paid/Closed]</w:t>
      </w:r>
      <w:r>
        <w:rPr>
          <w:rFonts w:ascii="Arial" w:cs="Arial" w:eastAsia="Arial" w:hAnsi="Arial"/>
          <w:b w:val="false"/>
          <w:bCs w:val="false"/>
          <w:i w:val="false"/>
          <w:iCs w:val="false"/>
          <w:color w:val="444444"/>
          <w:sz w:val="21"/>
          <w:szCs w:val="21"/>
        </w:rPr>
        <w:t xml:space="preserve"> but reports a current balance of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A closed/paid account cannot carry a balance.</w:t>
      </w:r>
    </w:p>
    <w:p>
      <w:pPr>
        <w:spacing w:after="120"/>
        <w:ind w:left="360"/>
        <w:jc w:val="left"/>
      </w:pPr>
      <w:r>
        <w:rPr>
          <w:rFonts w:ascii="Arial" w:cs="Arial" w:eastAsia="Arial" w:hAnsi="Arial"/>
          <w:b w:val="false"/>
          <w:bCs w:val="false"/>
          <w:i w:val="false"/>
          <w:iCs w:val="false"/>
          <w:color w:val="444444"/>
          <w:sz w:val="21"/>
          <w:szCs w:val="21"/>
        </w:rPr>
        <w:t xml:space="preserve">• Date of Last Payment vs. Payment Pattern: The date of last payment is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but the payment history string shows activity after this date.</w:t>
      </w:r>
    </w:p>
    <w:p>
      <w:pPr>
        <w:spacing w:after="120"/>
        <w:ind w:left="360"/>
        <w:jc w:val="left"/>
      </w:pPr>
      <w:r>
        <w:rPr>
          <w:rFonts w:ascii="Arial" w:cs="Arial" w:eastAsia="Arial" w:hAnsi="Arial"/>
          <w:b w:val="false"/>
          <w:bCs w:val="false"/>
          <w:i w:val="false"/>
          <w:iCs w:val="false"/>
          <w:color w:val="444444"/>
          <w:sz w:val="21"/>
          <w:szCs w:val="21"/>
        </w:rPr>
        <w:t xml:space="preserve">• Account Type Code: The account type is reported as </w:t>
      </w:r>
      <w:r>
        <w:rPr>
          <w:rFonts w:ascii="Arial" w:cs="Arial" w:eastAsia="Arial" w:hAnsi="Arial"/>
          <w:b/>
          <w:bCs/>
          <w:i/>
          <w:iCs/>
          <w:color w:val="2C5530"/>
          <w:sz w:val="21"/>
          <w:szCs w:val="21"/>
        </w:rPr>
        <w:t xml:space="preserve">[Code]</w:t>
      </w:r>
      <w:r>
        <w:rPr>
          <w:rFonts w:ascii="Arial" w:cs="Arial" w:eastAsia="Arial" w:hAnsi="Arial"/>
          <w:b w:val="false"/>
          <w:bCs w:val="false"/>
          <w:i w:val="false"/>
          <w:iCs w:val="false"/>
          <w:color w:val="444444"/>
          <w:sz w:val="21"/>
          <w:szCs w:val="21"/>
        </w:rPr>
        <w:t xml:space="preserve"> which does not match the actual account type of </w:t>
      </w:r>
      <w:r>
        <w:rPr>
          <w:rFonts w:ascii="Arial" w:cs="Arial" w:eastAsia="Arial" w:hAnsi="Arial"/>
          <w:b/>
          <w:bCs/>
          <w:i/>
          <w:iCs/>
          <w:color w:val="2C5530"/>
          <w:sz w:val="21"/>
          <w:szCs w:val="21"/>
        </w:rPr>
        <w:t xml:space="preserve">[Description]</w:t>
      </w:r>
      <w:r>
        <w:rPr>
          <w:rFonts w:ascii="Arial" w:cs="Arial" w:eastAsia="Arial" w:hAnsi="Arial"/>
          <w:b w:val="false"/>
          <w:bCs w:val="false"/>
          <w:i w:val="false"/>
          <w:iCs w:val="false"/>
          <w:color w:val="444444"/>
          <w:sz w:val="21"/>
          <w:szCs w:val="21"/>
        </w:rPr>
        <w:t xml:space="preserve">.</w:t>
      </w:r>
    </w:p>
    <w:p>
      <w:pPr>
        <w:spacing w:after="120"/>
        <w:ind w:left="360"/>
        <w:jc w:val="left"/>
      </w:pPr>
      <w:r>
        <w:rPr>
          <w:rFonts w:ascii="Arial" w:cs="Arial" w:eastAsia="Arial" w:hAnsi="Arial"/>
          <w:b w:val="false"/>
          <w:bCs w:val="false"/>
          <w:i w:val="false"/>
          <w:iCs w:val="false"/>
          <w:color w:val="444444"/>
          <w:sz w:val="21"/>
          <w:szCs w:val="21"/>
        </w:rPr>
        <w:t xml:space="preserve">• Date of First Delinquency: Missing or incorrect, which affects the 7-year reporting calculation under FCRA Section 605.</w:t>
      </w:r>
    </w:p>
    <w:p>
      <w:pPr>
        <w:spacing w:after="120"/>
        <w:ind w:left="360"/>
        <w:jc w:val="left"/>
      </w:pP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[Other specific Metro 2 violation]</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Under FCRA Section 623(a)(1)(A), furnishers are prohibited from reporting information they know or have reasonable cause to believe is inaccurate. The Metro 2 Format is the industry standard for accurate reporting, and violations of this format constitute inaccurate reporting.</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Please investigate these inconsistencies and correct the reporting to comply with Metro 2 standards, or delete the account if it cannot be accurately reported.</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Copy of credit report with disputed item highlighted</w:t>
      </w:r>
    </w:p>
    <w:p>
      <w:pPr>
        <w:spacing w:after="0"/>
        <w:ind w:left="360"/>
        <w:jc w:val="left"/>
      </w:pPr>
      <w:r>
        <w:rPr>
          <w:rFonts w:ascii="Arial" w:cs="Arial" w:eastAsia="Arial" w:hAnsi="Arial"/>
          <w:b w:val="false"/>
          <w:bCs w:val="false"/>
          <w:i w:val="false"/>
          <w:iCs w:val="false"/>
          <w:color w:val="444444"/>
          <w:sz w:val="21"/>
          <w:szCs w:val="21"/>
        </w:rPr>
        <w:t xml:space="preserve">- Copy of government-issued photo ID</w:t>
      </w:r>
    </w:p>
    <w:p>
      <w:pPr>
        <w:spacing w:after="120"/>
        <w:ind w:left="360"/>
        <w:jc w:val="left"/>
      </w:pPr>
      <w:r>
        <w:rPr>
          <w:rFonts w:ascii="Arial" w:cs="Arial" w:eastAsia="Arial" w:hAnsi="Arial"/>
          <w:b w:val="false"/>
          <w:bCs w:val="false"/>
          <w:i w:val="false"/>
          <w:iCs w:val="false"/>
          <w:color w:val="444444"/>
          <w:sz w:val="21"/>
          <w:szCs w:val="21"/>
        </w:rPr>
        <w:t xml:space="preserve">- Copy of proof of address</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This is an advanced dispute technique. Metro 2 violations are particularly effective because they demonstrate technical inaccuracy that the bureau cannot easily dismiss. If you have access to your raw credit report data (available from some credit monitoring services), you can identify specific field-level errors. This pairs well with Letter 3 (Method of Verification Demand).</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2026-03-03T18:49:15.073Z</dcterms:created>
  <dcterms:modified xsi:type="dcterms:W3CDTF">2026-03-03T18:49:15.073Z</dcterms:modified>
</cp:coreProperties>
</file>

<file path=docProps/custom.xml><?xml version="1.0" encoding="utf-8"?>
<Properties xmlns="http://schemas.openxmlformats.org/officeDocument/2006/custom-properties" xmlns:vt="http://schemas.openxmlformats.org/officeDocument/2006/docPropsVTypes"/>
</file>