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Identity Theft: Section 605B Fraud Block Request</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 are a victim of identity theft and fraudulent accounts, inquiries, or other information appears on your credit report. This letter requests that the bureau BLOCK the fraudulent information from your report. Blocked information cannot be reported or furnished to anyone.</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605B (15 U.S.C. § 1681c-2) — requires credit bureaus to block reporting of information resulting from identity theft within 4 business days of receiving: (1) an identity theft report, (2) proper identification, and (3) identification of the specific fraudulent information.</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Mailing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Request to Block Fraudulent Information Under FCRA Section 605B</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a victim of identity theft. I am writing to request that you block the following fraudulent information from my credit report pursuant to FCRA Section 605B (15 U.S.C. § 1681c-2).</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Fraudulent Items to Be Blocked:</w:t>
      </w:r>
    </w:p>
    <w:p>
      <w:pPr>
        <w:spacing w:after="40"/>
        <w:jc w:val="left"/>
      </w:pPr>
      <w:r>
        <w:rPr>
          <w:rFonts w:ascii="Arial" w:cs="Arial" w:eastAsia="Arial" w:hAnsi="Arial"/>
          <w:b w:val="false"/>
          <w:bCs w:val="false"/>
          <w:i w:val="false"/>
          <w:iCs w:val="false"/>
          <w:color w:val="444444"/>
          <w:sz w:val="21"/>
          <w:szCs w:val="21"/>
        </w:rPr>
        <w:t xml:space="preserve">[List each fraudulent item. Examples:</w:t>
      </w:r>
    </w:p>
    <w:p>
      <w:pPr>
        <w:spacing w:after="40"/>
        <w:ind w:left="360"/>
        <w:jc w:val="left"/>
      </w:pPr>
      <w:r>
        <w:rPr>
          <w:rFonts w:ascii="Arial" w:cs="Arial" w:eastAsia="Arial" w:hAnsi="Arial"/>
          <w:b w:val="false"/>
          <w:bCs w:val="false"/>
          <w:i w:val="false"/>
          <w:iCs w:val="false"/>
          <w:color w:val="444444"/>
          <w:sz w:val="21"/>
          <w:szCs w:val="21"/>
        </w:rPr>
        <w:t xml:space="preserve">• Account: </w:t>
      </w:r>
      <w:r>
        <w:rPr>
          <w:rFonts w:ascii="Arial" w:cs="Arial" w:eastAsia="Arial" w:hAnsi="Arial"/>
          <w:b/>
          <w:bCs/>
          <w:i/>
          <w:iCs/>
          <w:color w:val="2C5530"/>
          <w:sz w:val="21"/>
          <w:szCs w:val="21"/>
        </w:rPr>
        <w:t xml:space="preserve">[Creditor Name]</w:t>
      </w:r>
      <w:r>
        <w:rPr>
          <w:rFonts w:ascii="Arial" w:cs="Arial" w:eastAsia="Arial" w:hAnsi="Arial"/>
          <w:b w:val="false"/>
          <w:bCs w:val="false"/>
          <w:i w:val="false"/>
          <w:iCs w:val="false"/>
          <w:color w:val="444444"/>
          <w:sz w:val="21"/>
          <w:szCs w:val="21"/>
        </w:rPr>
        <w:t xml:space="preserve">, Account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 I did not open this account</w:t>
      </w:r>
    </w:p>
    <w:p>
      <w:pPr>
        <w:spacing w:after="40"/>
        <w:ind w:left="360"/>
        <w:jc w:val="left"/>
      </w:pPr>
      <w:r>
        <w:rPr>
          <w:rFonts w:ascii="Arial" w:cs="Arial" w:eastAsia="Arial" w:hAnsi="Arial"/>
          <w:b w:val="false"/>
          <w:bCs w:val="false"/>
          <w:i w:val="false"/>
          <w:iCs w:val="false"/>
          <w:color w:val="444444"/>
          <w:sz w:val="21"/>
          <w:szCs w:val="21"/>
        </w:rPr>
        <w:t xml:space="preserve">• Account: </w:t>
      </w:r>
      <w:r>
        <w:rPr>
          <w:rFonts w:ascii="Arial" w:cs="Arial" w:eastAsia="Arial" w:hAnsi="Arial"/>
          <w:b/>
          <w:bCs/>
          <w:i/>
          <w:iCs/>
          <w:color w:val="2C5530"/>
          <w:sz w:val="21"/>
          <w:szCs w:val="21"/>
        </w:rPr>
        <w:t xml:space="preserve">[Creditor Name]</w:t>
      </w:r>
      <w:r>
        <w:rPr>
          <w:rFonts w:ascii="Arial" w:cs="Arial" w:eastAsia="Arial" w:hAnsi="Arial"/>
          <w:b w:val="false"/>
          <w:bCs w:val="false"/>
          <w:i w:val="false"/>
          <w:iCs w:val="false"/>
          <w:color w:val="444444"/>
          <w:sz w:val="21"/>
          <w:szCs w:val="21"/>
        </w:rPr>
        <w:t xml:space="preserve">, Account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 Fraudulent account</w:t>
      </w:r>
    </w:p>
    <w:p>
      <w:pPr>
        <w:spacing w:after="40"/>
        <w:ind w:left="360"/>
        <w:jc w:val="left"/>
      </w:pPr>
      <w:r>
        <w:rPr>
          <w:rFonts w:ascii="Arial" w:cs="Arial" w:eastAsia="Arial" w:hAnsi="Arial"/>
          <w:b w:val="false"/>
          <w:bCs w:val="false"/>
          <w:i w:val="false"/>
          <w:iCs w:val="false"/>
          <w:color w:val="444444"/>
          <w:sz w:val="21"/>
          <w:szCs w:val="21"/>
        </w:rPr>
        <w:t xml:space="preserve">• Inquiry: </w:t>
      </w:r>
      <w:r>
        <w:rPr>
          <w:rFonts w:ascii="Arial" w:cs="Arial" w:eastAsia="Arial" w:hAnsi="Arial"/>
          <w:b/>
          <w:bCs/>
          <w:i/>
          <w:iCs/>
          <w:color w:val="2C5530"/>
          <w:sz w:val="21"/>
          <w:szCs w:val="21"/>
        </w:rPr>
        <w:t xml:space="preserve">[Company Name]</w:t>
      </w:r>
      <w:r>
        <w:rPr>
          <w:rFonts w:ascii="Arial" w:cs="Arial" w:eastAsia="Arial" w:hAnsi="Arial"/>
          <w:b w:val="false"/>
          <w:bCs w:val="false"/>
          <w:i w:val="false"/>
          <w:iCs w:val="false"/>
          <w:color w:val="444444"/>
          <w:sz w:val="21"/>
          <w:szCs w:val="21"/>
        </w:rPr>
        <w:t xml:space="preserve">, dated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 I did not authorize this inquiry</w:t>
      </w:r>
    </w:p>
    <w:p>
      <w:pPr>
        <w:spacing w:after="120"/>
        <w:ind w:left="360"/>
        <w:jc w:val="left"/>
      </w:pPr>
      <w:r>
        <w:rPr>
          <w:rFonts w:ascii="Arial" w:cs="Arial" w:eastAsia="Arial" w:hAnsi="Arial"/>
          <w:b w:val="false"/>
          <w:bCs w:val="false"/>
          <w:i w:val="false"/>
          <w:iCs w:val="false"/>
          <w:color w:val="444444"/>
          <w:sz w:val="21"/>
          <w:szCs w:val="21"/>
        </w:rPr>
        <w:t xml:space="preserve">• Address: </w:t>
      </w:r>
      <w:r>
        <w:rPr>
          <w:rFonts w:ascii="Arial" w:cs="Arial" w:eastAsia="Arial" w:hAnsi="Arial"/>
          <w:b/>
          <w:bCs/>
          <w:i/>
          <w:iCs/>
          <w:color w:val="2C5530"/>
          <w:sz w:val="21"/>
          <w:szCs w:val="21"/>
        </w:rPr>
        <w:t xml:space="preserve">[Fraudulent Address]</w:t>
      </w:r>
      <w:r>
        <w:rPr>
          <w:rFonts w:ascii="Arial" w:cs="Arial" w:eastAsia="Arial" w:hAnsi="Arial"/>
          <w:b w:val="false"/>
          <w:bCs w:val="false"/>
          <w:i w:val="false"/>
          <w:iCs w:val="false"/>
          <w:color w:val="444444"/>
          <w:sz w:val="21"/>
          <w:szCs w:val="21"/>
        </w:rPr>
        <w:t xml:space="preserve"> — I have never lived at this address]</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FCRA Section 605B, you are required to:</w:t>
      </w:r>
    </w:p>
    <w:p>
      <w:pPr>
        <w:spacing w:after="40"/>
        <w:ind w:left="360"/>
        <w:jc w:val="left"/>
      </w:pPr>
      <w:r>
        <w:rPr>
          <w:rFonts w:ascii="Arial" w:cs="Arial" w:eastAsia="Arial" w:hAnsi="Arial"/>
          <w:b w:val="false"/>
          <w:bCs w:val="false"/>
          <w:i w:val="false"/>
          <w:iCs w:val="false"/>
          <w:color w:val="444444"/>
          <w:sz w:val="21"/>
          <w:szCs w:val="21"/>
        </w:rPr>
        <w:t xml:space="preserve">1. Block the identified fraudulent information within 4 business days of receiving this request.</w:t>
      </w:r>
    </w:p>
    <w:p>
      <w:pPr>
        <w:spacing w:after="40"/>
        <w:ind w:left="360"/>
        <w:jc w:val="left"/>
      </w:pPr>
      <w:r>
        <w:rPr>
          <w:rFonts w:ascii="Arial" w:cs="Arial" w:eastAsia="Arial" w:hAnsi="Arial"/>
          <w:b w:val="false"/>
          <w:bCs w:val="false"/>
          <w:i w:val="false"/>
          <w:iCs w:val="false"/>
          <w:color w:val="444444"/>
          <w:sz w:val="21"/>
          <w:szCs w:val="21"/>
        </w:rPr>
        <w:t xml:space="preserve">2. Notify the data furnisher(s) that the information has been blocked due to identity theft.</w:t>
      </w:r>
    </w:p>
    <w:p>
      <w:pPr>
        <w:spacing w:after="120"/>
        <w:ind w:left="360"/>
        <w:jc w:val="left"/>
      </w:pPr>
      <w:r>
        <w:rPr>
          <w:rFonts w:ascii="Arial" w:cs="Arial" w:eastAsia="Arial" w:hAnsi="Arial"/>
          <w:b w:val="false"/>
          <w:bCs w:val="false"/>
          <w:i w:val="false"/>
          <w:iCs w:val="false"/>
          <w:color w:val="444444"/>
          <w:sz w:val="21"/>
          <w:szCs w:val="21"/>
        </w:rPr>
        <w:t xml:space="preserve">3. Notify the data furnisher(s) that they may not re-report the blocked information.</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have enclosed all required documentation as specified in FCRA Section 605B(a).</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FTC Identity Theft Report (from IdentityTheft.gov)</w:t>
      </w:r>
    </w:p>
    <w:p>
      <w:pPr>
        <w:spacing w:after="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[Police report / law enforcement report, if filed]</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 Copy of credit report with fraudulent items highlighted</w:t>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w:t>
      </w:r>
    </w:p>
    <w:p>
      <w:pPr>
        <w:spacing w:after="0"/>
        <w:ind w:left="360"/>
        <w:jc w:val="left"/>
      </w:pPr>
      <w:r>
        <w:rPr>
          <w:rFonts w:ascii="Arial" w:cs="Arial" w:eastAsia="Arial" w:hAnsi="Arial"/>
          <w:b w:val="false"/>
          <w:bCs w:val="false"/>
          <w:i w:val="false"/>
          <w:iCs w:val="false"/>
          <w:color w:val="444444"/>
          <w:sz w:val="21"/>
          <w:szCs w:val="21"/>
        </w:rPr>
        <w:t xml:space="preserve">- Copy of proof of address</w:t>
      </w:r>
    </w:p>
    <w:p>
      <w:pPr>
        <w:spacing w:after="120"/>
        <w:ind w:left="360"/>
        <w:jc w:val="left"/>
      </w:pPr>
      <w:r>
        <w:rPr>
          <w:rFonts w:ascii="Arial" w:cs="Arial" w:eastAsia="Arial" w:hAnsi="Arial"/>
          <w:b w:val="false"/>
          <w:bCs w:val="false"/>
          <w:i w:val="false"/>
          <w:iCs w:val="false"/>
          <w:color w:val="444444"/>
          <w:sz w:val="21"/>
          <w:szCs w:val="21"/>
        </w:rPr>
        <w:t xml:space="preserve">- Copy of Social Security card</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Before sending this letter, file an Identity Theft Report at IdentityTheft.gov — this generates the FTC Identity Theft Report required by law. A police report is recommended but not required. Also file a Fraud Alert (Letter 18). Send to ALL THREE bureaus. The block is stronger than a regular dispute — blocked items cannot be re-reported.</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2026-03-03T18:49:14.863Z</dcterms:created>
  <dcterms:modified xsi:type="dcterms:W3CDTF">2026-03-03T18:49:14.864Z</dcterms:modified>
</cp:coreProperties>
</file>

<file path=docProps/custom.xml><?xml version="1.0" encoding="utf-8"?>
<Properties xmlns="http://schemas.openxmlformats.org/officeDocument/2006/custom-properties" xmlns:vt="http://schemas.openxmlformats.org/officeDocument/2006/docPropsVTypes"/>
</file>