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Obsolete Information Removal — Section 605</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Items on your report that have exceeded their maximum reporting period. Most negative items must be removed after 7 years from the date of first delinquency. Bankruptcies: 7 years (Chapter 13) or 10 years (Chapter 7).</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605 (15 U.S.C. § 1681c) — prohibits credit bureaus from reporting obsolete information. Reporting periods: 7 years for most negative items, 10 years for Chapter 7 bankruptcy.</w:t>
      </w:r>
    </w:p>
    <w:p>
      <w:pPr>
        <w:spacing w:after="60"/>
      </w:pPr>
      <w:r>
        <w:rPr>
          <w:rFonts w:ascii="Arial" w:cs="Arial" w:eastAsia="Arial" w:hAnsi="Arial"/>
          <w:sz w:val="2"/>
          <w:szCs w:val="2"/>
        </w:rPr>
        <w:t xml:space="preserve"/>
      </w:r>
    </w:p>
    <w:p>
      <w:pPr>
        <w:spacing w:after="40"/>
        <w:jc w:val="left"/>
      </w:pPr>
      <w:r>
        <w:rPr>
          <w:rFonts w:ascii="Arial" w:cs="Arial" w:eastAsia="Arial" w:hAnsi="Arial"/>
          <w:b/>
          <w:bCs/>
          <w:i w:val="false"/>
          <w:iCs w:val="false"/>
          <w:color w:val="444444"/>
          <w:sz w:val="21"/>
          <w:szCs w:val="21"/>
        </w:rPr>
        <w:t xml:space="preserve">REPORTING PERIOD REFERENCE:</w:t>
      </w:r>
    </w:p>
    <w:p>
      <w:pPr>
        <w:spacing w:after="40"/>
        <w:ind w:left="360"/>
        <w:jc w:val="left"/>
      </w:pPr>
      <w:r>
        <w:rPr>
          <w:rFonts w:ascii="Arial" w:cs="Arial" w:eastAsia="Arial" w:hAnsi="Arial"/>
          <w:b w:val="false"/>
          <w:bCs w:val="false"/>
          <w:i w:val="false"/>
          <w:iCs w:val="false"/>
          <w:color w:val="444444"/>
          <w:sz w:val="21"/>
          <w:szCs w:val="21"/>
        </w:rPr>
        <w:t xml:space="preserve">• Late payments, collections, charge-offs: 7 years from date of first delinquency</w:t>
      </w:r>
    </w:p>
    <w:p>
      <w:pPr>
        <w:spacing w:after="40"/>
        <w:ind w:left="360"/>
        <w:jc w:val="left"/>
      </w:pPr>
      <w:r>
        <w:rPr>
          <w:rFonts w:ascii="Arial" w:cs="Arial" w:eastAsia="Arial" w:hAnsi="Arial"/>
          <w:b w:val="false"/>
          <w:bCs w:val="false"/>
          <w:i w:val="false"/>
          <w:iCs w:val="false"/>
          <w:color w:val="444444"/>
          <w:sz w:val="21"/>
          <w:szCs w:val="21"/>
        </w:rPr>
        <w:t xml:space="preserve">• Chapter 13 bankruptcy: 7 years from filing date</w:t>
      </w:r>
    </w:p>
    <w:p>
      <w:pPr>
        <w:spacing w:after="40"/>
        <w:ind w:left="360"/>
        <w:jc w:val="left"/>
      </w:pPr>
      <w:r>
        <w:rPr>
          <w:rFonts w:ascii="Arial" w:cs="Arial" w:eastAsia="Arial" w:hAnsi="Arial"/>
          <w:b w:val="false"/>
          <w:bCs w:val="false"/>
          <w:i w:val="false"/>
          <w:iCs w:val="false"/>
          <w:color w:val="444444"/>
          <w:sz w:val="21"/>
          <w:szCs w:val="21"/>
        </w:rPr>
        <w:t xml:space="preserve">• Chapter 7 bankruptcy: 10 years from filing date</w:t>
      </w:r>
    </w:p>
    <w:p>
      <w:pPr>
        <w:spacing w:after="40"/>
        <w:ind w:left="360"/>
        <w:jc w:val="left"/>
      </w:pPr>
      <w:r>
        <w:rPr>
          <w:rFonts w:ascii="Arial" w:cs="Arial" w:eastAsia="Arial" w:hAnsi="Arial"/>
          <w:b w:val="false"/>
          <w:bCs w:val="false"/>
          <w:i w:val="false"/>
          <w:iCs w:val="false"/>
          <w:color w:val="444444"/>
          <w:sz w:val="21"/>
          <w:szCs w:val="21"/>
        </w:rPr>
        <w:t xml:space="preserve">• Tax liens (unpaid): 7 years from payment date (paid liens removed immediately as of 2018)</w:t>
      </w:r>
    </w:p>
    <w:p>
      <w:pPr>
        <w:spacing w:after="40"/>
        <w:ind w:left="360"/>
        <w:jc w:val="left"/>
      </w:pPr>
      <w:r>
        <w:rPr>
          <w:rFonts w:ascii="Arial" w:cs="Arial" w:eastAsia="Arial" w:hAnsi="Arial"/>
          <w:b w:val="false"/>
          <w:bCs w:val="false"/>
          <w:i w:val="false"/>
          <w:iCs w:val="false"/>
          <w:color w:val="444444"/>
          <w:sz w:val="21"/>
          <w:szCs w:val="21"/>
        </w:rPr>
        <w:t xml:space="preserve">• Civil judgments: Removed from credit reports since 2018</w:t>
      </w:r>
    </w:p>
    <w:p>
      <w:pPr>
        <w:spacing w:after="120"/>
        <w:ind w:left="360"/>
        <w:jc w:val="left"/>
      </w:pPr>
      <w:r>
        <w:rPr>
          <w:rFonts w:ascii="Arial" w:cs="Arial" w:eastAsia="Arial" w:hAnsi="Arial"/>
          <w:b w:val="false"/>
          <w:bCs w:val="false"/>
          <w:i w:val="false"/>
          <w:iCs w:val="false"/>
          <w:color w:val="444444"/>
          <w:sz w:val="21"/>
          <w:szCs w:val="21"/>
        </w:rPr>
        <w:t xml:space="preserve">• Hard inquiries: 2 years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Removal of Obsolete Information Under FCRA Section 605</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Account/Item: </w:t>
      </w:r>
      <w:r>
        <w:rPr>
          <w:rFonts w:ascii="Arial" w:cs="Arial" w:eastAsia="Arial" w:hAnsi="Arial"/>
          <w:b/>
          <w:bCs/>
          <w:i/>
          <w:iCs/>
          <w:color w:val="2C5530"/>
          <w:sz w:val="21"/>
          <w:szCs w:val="21"/>
        </w:rPr>
        <w:t xml:space="preserve">[Creditor Name / Account Number / Item Description]</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Type: </w:t>
      </w:r>
      <w:r>
        <w:rPr>
          <w:rFonts w:ascii="Arial" w:cs="Arial" w:eastAsia="Arial" w:hAnsi="Arial"/>
          <w:b/>
          <w:bCs/>
          <w:i/>
          <w:iCs/>
          <w:color w:val="2C5530"/>
          <w:sz w:val="21"/>
          <w:szCs w:val="21"/>
        </w:rPr>
        <w:t xml:space="preserve">[Collection / Charge-Off / Late Payment / Bankruptcy / Other]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First Delinquency: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Current Date: </w:t>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Time Elapsed: </w:t>
      </w:r>
      <w:r>
        <w:rPr>
          <w:rFonts w:ascii="Arial" w:cs="Arial" w:eastAsia="Arial" w:hAnsi="Arial"/>
          <w:b/>
          <w:bCs/>
          <w:i/>
          <w:iCs/>
          <w:color w:val="2C5530"/>
          <w:sz w:val="21"/>
          <w:szCs w:val="21"/>
        </w:rPr>
        <w:t xml:space="preserve">[X years, X months]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request the immediate removal of the above-referenced item from my credit report, pursuant to FCRA Section 605 (15 U.S.C. § 1681c).</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item has exceeded the maximum allowable reporting period. The date of first delinquency was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which means the 7-year reporting period expired on </w:t>
      </w:r>
      <w:r>
        <w:rPr>
          <w:rFonts w:ascii="Arial" w:cs="Arial" w:eastAsia="Arial" w:hAnsi="Arial"/>
          <w:b/>
          <w:bCs/>
          <w:i/>
          <w:iCs/>
          <w:color w:val="2C5530"/>
          <w:sz w:val="21"/>
          <w:szCs w:val="21"/>
        </w:rPr>
        <w:t xml:space="preserve">[Date — 7 years later]</w:t>
      </w:r>
      <w:r>
        <w:rPr>
          <w:rFonts w:ascii="Arial" w:cs="Arial" w:eastAsia="Arial" w:hAnsi="Arial"/>
          <w:b w:val="false"/>
          <w:bCs w:val="false"/>
          <w:i w:val="false"/>
          <w:iCs w:val="false"/>
          <w:color w:val="444444"/>
          <w:sz w:val="21"/>
          <w:szCs w:val="21"/>
        </w:rPr>
        <w:t xml:space="preserve">. This item is now obsolete and must be removed.</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605(a), a consumer reporting agency may not report adverse information that predates the report by more than seven years (with exceptions noted in the statute for certain items). Continued reporting of obsolete information is a violation of the FCRA.</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Please remove this item immediately and send me an updated copy of my credit report.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obsolete item highlighted</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[Documentation showing date of first delinquency, if available]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120"/>
        <w:ind w:left="360"/>
        <w:jc w:val="left"/>
      </w:pPr>
      <w:r>
        <w:rPr>
          <w:rFonts w:ascii="Arial" w:cs="Arial" w:eastAsia="Arial" w:hAnsi="Arial"/>
          <w:b w:val="false"/>
          <w:bCs w:val="false"/>
          <w:i w:val="false"/>
          <w:iCs w:val="false"/>
          <w:color w:val="444444"/>
          <w:sz w:val="21"/>
          <w:szCs w:val="21"/>
        </w:rPr>
        <w:t xml:space="preserve">- Copy of proof of address</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Key point: the 7-year clock starts from the date of FIRST delinquency that led to the negative status — NOT from the date of charge-off, sale to collector, or last payment. If a collector is reporting a new date of first delinquency (re-aging), use Letter 13 instead.</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2026-03-03T18:47:22.754Z</dcterms:created>
  <dcterms:modified xsi:type="dcterms:W3CDTF">2026-03-03T18:47:22.754Z</dcterms:modified>
</cp:coreProperties>
</file>

<file path=docProps/custom.xml><?xml version="1.0" encoding="utf-8"?>
<Properties xmlns="http://schemas.openxmlformats.org/officeDocument/2006/custom-properties" xmlns:vt="http://schemas.openxmlformats.org/officeDocument/2006/docPropsVTypes"/>
</file>