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AC6D8" w14:textId="113025D6" w:rsidR="009C2131" w:rsidRDefault="003C6563">
      <w:pPr>
        <w:spacing w:after="240" w:line="240" w:lineRule="auto"/>
      </w:pPr>
      <w:r>
        <w:rPr>
          <w:noProof/>
        </w:rPr>
        <w:drawing>
          <wp:anchor distT="0" distB="0" distL="114300" distR="114300" simplePos="0" relativeHeight="251658240" behindDoc="1" locked="0" layoutInCell="1" allowOverlap="1" wp14:anchorId="5E81BB78" wp14:editId="6E1558BA">
            <wp:simplePos x="0" y="0"/>
            <wp:positionH relativeFrom="column">
              <wp:posOffset>3626803</wp:posOffset>
            </wp:positionH>
            <wp:positionV relativeFrom="paragraph">
              <wp:posOffset>264795</wp:posOffset>
            </wp:positionV>
            <wp:extent cx="2757930" cy="552450"/>
            <wp:effectExtent l="0" t="0" r="4445" b="0"/>
            <wp:wrapNone/>
            <wp:docPr id="1681012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12091" name="Picture 168101209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57930" cy="552450"/>
                    </a:xfrm>
                    <a:prstGeom prst="rect">
                      <a:avLst/>
                    </a:prstGeom>
                  </pic:spPr>
                </pic:pic>
              </a:graphicData>
            </a:graphic>
            <wp14:sizeRelH relativeFrom="page">
              <wp14:pctWidth>0</wp14:pctWidth>
            </wp14:sizeRelH>
            <wp14:sizeRelV relativeFrom="page">
              <wp14:pctHeight>0</wp14:pctHeight>
            </wp14:sizeRelV>
          </wp:anchor>
        </w:drawing>
      </w:r>
      <w:r>
        <w:br/>
      </w:r>
      <w:r>
        <w:rPr>
          <w:noProof/>
        </w:rPr>
        <w:drawing>
          <wp:inline distT="0" distB="0" distL="0" distR="0" wp14:anchorId="5A586F64" wp14:editId="215D0249">
            <wp:extent cx="18097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809750" cy="914400"/>
                    </a:xfrm>
                    <a:prstGeom prst="rect">
                      <a:avLst/>
                    </a:prstGeom>
                  </pic:spPr>
                </pic:pic>
              </a:graphicData>
            </a:graphic>
          </wp:inline>
        </w:drawing>
      </w:r>
    </w:p>
    <w:p w14:paraId="066B3047" w14:textId="77777777" w:rsidR="009C2131" w:rsidRDefault="00000000">
      <w:pPr>
        <w:spacing w:after="80"/>
      </w:pPr>
      <w:r>
        <w:rPr>
          <w:b/>
          <w:bCs/>
          <w:color w:val="65BC28"/>
          <w:sz w:val="19"/>
          <w:szCs w:val="19"/>
        </w:rPr>
        <w:t>JOINT STATEMENT</w:t>
      </w:r>
    </w:p>
    <w:p w14:paraId="5927C52B" w14:textId="77777777" w:rsidR="009C2131" w:rsidRDefault="00000000">
      <w:pPr>
        <w:spacing w:after="140"/>
      </w:pPr>
      <w:r>
        <w:rPr>
          <w:b/>
          <w:bCs/>
          <w:color w:val="011E41"/>
          <w:sz w:val="34"/>
          <w:szCs w:val="34"/>
        </w:rPr>
        <w:t>Deepfakes, practitioner identity and public trust</w:t>
      </w:r>
    </w:p>
    <w:p w14:paraId="65C3F75B" w14:textId="77777777" w:rsidR="009C2131" w:rsidRDefault="00000000">
      <w:pPr>
        <w:pBdr>
          <w:bottom w:val="single" w:sz="12" w:space="8" w:color="011E41"/>
        </w:pBdr>
        <w:spacing w:after="200"/>
      </w:pPr>
      <w:r>
        <w:rPr>
          <w:b/>
          <w:bCs/>
          <w:color w:val="011E41"/>
        </w:rPr>
        <w:t>A joint position from ACPA and ASAIMH</w:t>
      </w:r>
    </w:p>
    <w:p w14:paraId="29F55E1D" w14:textId="77777777" w:rsidR="009C2131" w:rsidRDefault="00000000">
      <w:pPr>
        <w:spacing w:before="240" w:after="160"/>
      </w:pPr>
      <w:r>
        <w:t>Artificial intelligence is making it increasingly easy to create convincing images, video and audio that imitate real people. For health practitioners, the misuse of a person’s image, voice or likeness is not simply a reputational issue. Deepfakes can exploit the trust placed in practitioners and may be used to spread misinformation, facilitate scams, impersonate individuals or influence patients and the public.</w:t>
      </w:r>
    </w:p>
    <w:p w14:paraId="45284245" w14:textId="77777777" w:rsidR="009C2131" w:rsidRDefault="00000000">
      <w:pPr>
        <w:spacing w:after="160"/>
      </w:pPr>
      <w:r>
        <w:t>ACPA and ASAIMH believe the response must combine stronger responsibility from technology platforms and AI providers with greater awareness and practical preparedness across the health workforce.</w:t>
      </w:r>
    </w:p>
    <w:p w14:paraId="348332B3" w14:textId="77777777" w:rsidR="009C2131" w:rsidRDefault="00000000">
      <w:pPr>
        <w:pBdr>
          <w:bottom w:val="single" w:sz="12" w:space="6" w:color="65BC28"/>
        </w:pBdr>
        <w:spacing w:before="340" w:after="60"/>
      </w:pPr>
      <w:r>
        <w:rPr>
          <w:b/>
          <w:bCs/>
          <w:color w:val="011E41"/>
          <w:sz w:val="28"/>
          <w:szCs w:val="28"/>
        </w:rPr>
        <w:t>Our position</w:t>
      </w:r>
    </w:p>
    <w:p w14:paraId="283CCA81" w14:textId="77777777" w:rsidR="009C2131" w:rsidRDefault="00000000">
      <w:pPr>
        <w:spacing w:before="260" w:after="100"/>
      </w:pPr>
      <w:r>
        <w:rPr>
          <w:b/>
          <w:bCs/>
          <w:color w:val="004DBC"/>
          <w:sz w:val="23"/>
          <w:szCs w:val="23"/>
        </w:rPr>
        <w:t>1. Practitioners should not be responsible for policing misuse of their own identity</w:t>
      </w:r>
    </w:p>
    <w:p w14:paraId="3F3189A9" w14:textId="77777777" w:rsidR="009C2131" w:rsidRDefault="00000000">
      <w:pPr>
        <w:spacing w:after="160"/>
      </w:pPr>
      <w:r>
        <w:t>Practitioners whose image, voice or likeness is misused should not be left to discover deceptive material themselves and then pursue individual platforms to have it removed. Responsibility needs to sit more clearly with the platforms and AI providers that enable the creation or distribution of this content. This should include effective measures to prevent misuse, identify deceptive content, respond quickly to reports and remove harmful material.</w:t>
      </w:r>
    </w:p>
    <w:p w14:paraId="6A7AE738" w14:textId="77777777" w:rsidR="009C2131" w:rsidRDefault="00000000">
      <w:pPr>
        <w:spacing w:before="260" w:after="100"/>
      </w:pPr>
      <w:r>
        <w:rPr>
          <w:b/>
          <w:bCs/>
          <w:color w:val="004DBC"/>
          <w:sz w:val="23"/>
          <w:szCs w:val="23"/>
        </w:rPr>
        <w:t>2. Australia needs a stronger and clearer regulatory framework</w:t>
      </w:r>
    </w:p>
    <w:p w14:paraId="08052C7C" w14:textId="77777777" w:rsidR="009C2131" w:rsidRDefault="00000000">
      <w:pPr>
        <w:spacing w:after="160"/>
      </w:pPr>
      <w:r>
        <w:t>ACPA and ASAIMH support stronger regulatory settings that establish clear responsibilities for platforms and AI providers when a person’s identity is misappropriated through AI-generated or manipulated content. This position is consistent with the broader call from the Australian Medical Association for stronger regulation of AI and emerging digital risks in healthcare.</w:t>
      </w:r>
    </w:p>
    <w:p w14:paraId="49883C0E" w14:textId="77777777" w:rsidR="009C2131" w:rsidRDefault="00000000">
      <w:pPr>
        <w:spacing w:before="260" w:after="100"/>
      </w:pPr>
      <w:r>
        <w:rPr>
          <w:b/>
          <w:bCs/>
          <w:color w:val="004DBC"/>
          <w:sz w:val="23"/>
          <w:szCs w:val="23"/>
        </w:rPr>
        <w:t>3. Every practitioner should understand what deepfakes are and how to protect themselves</w:t>
      </w:r>
    </w:p>
    <w:p w14:paraId="0A74C8F8" w14:textId="77777777" w:rsidR="009C2131" w:rsidRDefault="00000000">
      <w:pPr>
        <w:spacing w:after="160"/>
      </w:pPr>
      <w:r>
        <w:t>System-level responsibility does not remove the need for individual awareness. All members should be acutely aware of what deepfakes are, how convincing they can become, and how they may be used to impersonate clinicians or other trusted individuals. Practitioners should understand common warning signs, be alert to unusual requests and know when additional identity verification is appropriate.</w:t>
      </w:r>
    </w:p>
    <w:p w14:paraId="3D4E8A71" w14:textId="77777777" w:rsidR="009C2131" w:rsidRDefault="00000000">
      <w:pPr>
        <w:spacing w:before="260" w:after="100"/>
      </w:pPr>
      <w:r>
        <w:rPr>
          <w:b/>
          <w:bCs/>
          <w:color w:val="004DBC"/>
          <w:sz w:val="23"/>
          <w:szCs w:val="23"/>
        </w:rPr>
        <w:t>4. ‘Trust but verify’ should become part of everyday digital safety</w:t>
      </w:r>
    </w:p>
    <w:p w14:paraId="0921DB4F" w14:textId="77777777" w:rsidR="009C2131" w:rsidRDefault="00000000">
      <w:pPr>
        <w:spacing w:after="160"/>
      </w:pPr>
      <w:r>
        <w:t>There is no definitive way to identify every deepfake, and there is currently no simple and reliable real-time solution that can automatically prevent deepfake impersonation during a live video call. When an interaction, request or person’s behaviour appears unusual, practitioners should be prepared to pause the transaction or clinical interaction and undertake additional verification before acting.</w:t>
      </w:r>
    </w:p>
    <w:p w14:paraId="72E71966" w14:textId="77777777" w:rsidR="009C2131" w:rsidRDefault="00000000">
      <w:pPr>
        <w:pBdr>
          <w:bottom w:val="single" w:sz="12" w:space="6" w:color="65BC28"/>
        </w:pBdr>
        <w:spacing w:before="340" w:after="60"/>
      </w:pPr>
      <w:r>
        <w:rPr>
          <w:b/>
          <w:bCs/>
          <w:color w:val="011E41"/>
          <w:sz w:val="28"/>
          <w:szCs w:val="28"/>
        </w:rPr>
        <w:lastRenderedPageBreak/>
        <w:t>What members can do now</w:t>
      </w:r>
    </w:p>
    <w:p w14:paraId="26C644A2" w14:textId="77777777" w:rsidR="009C2131" w:rsidRDefault="00000000">
      <w:pPr>
        <w:spacing w:after="160"/>
      </w:pPr>
      <w:r>
        <w:t>Our accompanying Q&amp;A with Jay Banerji, Director of Digital Forensics &amp; Incident Response at Thales Cyber Services ANZ, explains how deepfakes are created, how they may be used in live digital interactions and the practical steps practitioners can take when they are suspicious.</w:t>
      </w:r>
    </w:p>
    <w:p w14:paraId="1F43C7F5" w14:textId="77777777" w:rsidR="009C2131" w:rsidRDefault="00000000">
      <w:pPr>
        <w:pStyle w:val="ListParagraph"/>
        <w:numPr>
          <w:ilvl w:val="0"/>
          <w:numId w:val="2"/>
        </w:numPr>
        <w:spacing w:after="110"/>
      </w:pPr>
      <w:r>
        <w:t>Be alert to unusual requests for information, money, access, links, files or other actions.</w:t>
      </w:r>
    </w:p>
    <w:p w14:paraId="065AB1F6" w14:textId="77777777" w:rsidR="009C2131" w:rsidRDefault="00000000">
      <w:pPr>
        <w:pStyle w:val="ListParagraph"/>
        <w:numPr>
          <w:ilvl w:val="0"/>
          <w:numId w:val="2"/>
        </w:numPr>
        <w:spacing w:after="110"/>
      </w:pPr>
      <w:r>
        <w:t>Look for visual inconsistencies during video calls, including blurred boundaries, unusual movement, perspective or depth.</w:t>
      </w:r>
    </w:p>
    <w:p w14:paraId="6069E76F" w14:textId="77777777" w:rsidR="009C2131" w:rsidRDefault="00000000">
      <w:pPr>
        <w:pStyle w:val="ListParagraph"/>
        <w:numPr>
          <w:ilvl w:val="0"/>
          <w:numId w:val="2"/>
        </w:numPr>
        <w:spacing w:after="110"/>
      </w:pPr>
      <w:r>
        <w:t>Pay attention to behaviour that differs from the person’s normal interactions.</w:t>
      </w:r>
    </w:p>
    <w:p w14:paraId="59E06896" w14:textId="77777777" w:rsidR="009C2131" w:rsidRDefault="00000000">
      <w:pPr>
        <w:pStyle w:val="ListParagraph"/>
        <w:numPr>
          <w:ilvl w:val="0"/>
          <w:numId w:val="2"/>
        </w:numPr>
        <w:spacing w:after="110"/>
      </w:pPr>
      <w:r>
        <w:t>Where appropriate, ask the participant to turn off a virtual background, move around or partially obscure their face.</w:t>
      </w:r>
    </w:p>
    <w:p w14:paraId="1119257A" w14:textId="77777777" w:rsidR="009C2131" w:rsidRDefault="00000000">
      <w:pPr>
        <w:pStyle w:val="ListParagraph"/>
        <w:numPr>
          <w:ilvl w:val="0"/>
          <w:numId w:val="2"/>
        </w:numPr>
        <w:spacing w:after="110"/>
      </w:pPr>
      <w:r>
        <w:t>Use independent verification questions or another trusted channel before complying with an unusual request.</w:t>
      </w:r>
    </w:p>
    <w:p w14:paraId="0CBF6AC7" w14:textId="77777777" w:rsidR="009C2131" w:rsidRDefault="00000000">
      <w:pPr>
        <w:pStyle w:val="ListParagraph"/>
        <w:numPr>
          <w:ilvl w:val="0"/>
          <w:numId w:val="2"/>
        </w:numPr>
        <w:spacing w:after="110"/>
      </w:pPr>
      <w:r>
        <w:t>Be conscious that publicly available photos, videos and audio can provide ‘seed data’ that may make impersonation more convincing.</w:t>
      </w:r>
    </w:p>
    <w:p w14:paraId="26700346" w14:textId="77777777" w:rsidR="009C2131" w:rsidRDefault="00000000">
      <w:pPr>
        <w:pBdr>
          <w:bottom w:val="single" w:sz="12" w:space="6" w:color="65BC28"/>
        </w:pBdr>
        <w:spacing w:before="340" w:after="60"/>
      </w:pPr>
      <w:r>
        <w:rPr>
          <w:b/>
          <w:bCs/>
          <w:color w:val="011E41"/>
          <w:sz w:val="28"/>
          <w:szCs w:val="28"/>
        </w:rPr>
        <w:t>About this statement</w:t>
      </w:r>
    </w:p>
    <w:p w14:paraId="323A6A00" w14:textId="77777777" w:rsidR="009C2131" w:rsidRDefault="00000000">
      <w:pPr>
        <w:spacing w:after="160"/>
      </w:pPr>
      <w:r>
        <w:t>This joint statement reflects the shared position of ACPA and ASAIMH on practitioner awareness, responsibility and the need for stronger safeguards in response to deepfake technology.</w:t>
      </w:r>
    </w:p>
    <w:p w14:paraId="0601461D" w14:textId="77777777" w:rsidR="009C2131" w:rsidRDefault="00000000">
      <w:pPr>
        <w:spacing w:before="120" w:after="160"/>
      </w:pPr>
      <w:r>
        <w:rPr>
          <w:i/>
          <w:iCs/>
          <w:color w:val="595959"/>
          <w:sz w:val="19"/>
          <w:szCs w:val="19"/>
        </w:rPr>
        <w:t>This information is provided for general educational purposes only and does not constitute legal or cybersecurity advice for any individual or organisation. Practitioners should seek appropriate professional advice about their specific circumstances.</w:t>
      </w:r>
    </w:p>
    <w:p w14:paraId="79EB7E47" w14:textId="77777777" w:rsidR="009C2131" w:rsidRDefault="00000000">
      <w:pPr>
        <w:pBdr>
          <w:top w:val="single" w:sz="8" w:space="8" w:color="65BC28"/>
        </w:pBdr>
        <w:spacing w:before="460"/>
      </w:pPr>
      <w:r>
        <w:rPr>
          <w:color w:val="595959"/>
          <w:sz w:val="17"/>
          <w:szCs w:val="17"/>
        </w:rPr>
        <w:t xml:space="preserve">Australasian Society for Artificial Intelligence in Mental Health </w:t>
      </w:r>
      <w:proofErr w:type="gramStart"/>
      <w:r>
        <w:rPr>
          <w:color w:val="595959"/>
          <w:sz w:val="17"/>
          <w:szCs w:val="17"/>
        </w:rPr>
        <w:t>Ltd  |</w:t>
      </w:r>
      <w:proofErr w:type="gramEnd"/>
      <w:r>
        <w:rPr>
          <w:color w:val="595959"/>
          <w:sz w:val="17"/>
          <w:szCs w:val="17"/>
        </w:rPr>
        <w:t xml:space="preserve">  ACN 690 246 </w:t>
      </w:r>
      <w:proofErr w:type="gramStart"/>
      <w:r>
        <w:rPr>
          <w:color w:val="595959"/>
          <w:sz w:val="17"/>
          <w:szCs w:val="17"/>
        </w:rPr>
        <w:t>103  |</w:t>
      </w:r>
      <w:proofErr w:type="gramEnd"/>
      <w:r>
        <w:rPr>
          <w:color w:val="595959"/>
          <w:sz w:val="17"/>
          <w:szCs w:val="17"/>
        </w:rPr>
        <w:t xml:space="preserve">  www.aimentalhealth.org.au</w:t>
      </w:r>
    </w:p>
    <w:sectPr w:rsidR="009C2131">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6BE6"/>
    <w:multiLevelType w:val="hybridMultilevel"/>
    <w:tmpl w:val="68F4C852"/>
    <w:lvl w:ilvl="0" w:tplc="7E866384">
      <w:start w:val="1"/>
      <w:numFmt w:val="bullet"/>
      <w:lvlText w:val="•"/>
      <w:lvlJc w:val="left"/>
      <w:pPr>
        <w:ind w:left="504" w:hanging="288"/>
      </w:pPr>
    </w:lvl>
    <w:lvl w:ilvl="1" w:tplc="338CEB18">
      <w:numFmt w:val="decimal"/>
      <w:lvlText w:val=""/>
      <w:lvlJc w:val="left"/>
    </w:lvl>
    <w:lvl w:ilvl="2" w:tplc="A8A40832">
      <w:numFmt w:val="decimal"/>
      <w:lvlText w:val=""/>
      <w:lvlJc w:val="left"/>
    </w:lvl>
    <w:lvl w:ilvl="3" w:tplc="A6FA6486">
      <w:numFmt w:val="decimal"/>
      <w:lvlText w:val=""/>
      <w:lvlJc w:val="left"/>
    </w:lvl>
    <w:lvl w:ilvl="4" w:tplc="C6E0102C">
      <w:numFmt w:val="decimal"/>
      <w:lvlText w:val=""/>
      <w:lvlJc w:val="left"/>
    </w:lvl>
    <w:lvl w:ilvl="5" w:tplc="A8CC0CFC">
      <w:numFmt w:val="decimal"/>
      <w:lvlText w:val=""/>
      <w:lvlJc w:val="left"/>
    </w:lvl>
    <w:lvl w:ilvl="6" w:tplc="A4BEBB42">
      <w:numFmt w:val="decimal"/>
      <w:lvlText w:val=""/>
      <w:lvlJc w:val="left"/>
    </w:lvl>
    <w:lvl w:ilvl="7" w:tplc="4720F9C2">
      <w:numFmt w:val="decimal"/>
      <w:lvlText w:val=""/>
      <w:lvlJc w:val="left"/>
    </w:lvl>
    <w:lvl w:ilvl="8" w:tplc="26AE330C">
      <w:numFmt w:val="decimal"/>
      <w:lvlText w:val=""/>
      <w:lvlJc w:val="left"/>
    </w:lvl>
  </w:abstractNum>
  <w:abstractNum w:abstractNumId="1" w15:restartNumberingAfterBreak="0">
    <w:nsid w:val="7C6C0A2D"/>
    <w:multiLevelType w:val="hybridMultilevel"/>
    <w:tmpl w:val="F05C823A"/>
    <w:lvl w:ilvl="0" w:tplc="8AF2E69E">
      <w:start w:val="1"/>
      <w:numFmt w:val="bullet"/>
      <w:lvlText w:val="●"/>
      <w:lvlJc w:val="left"/>
      <w:pPr>
        <w:ind w:left="720" w:hanging="360"/>
      </w:pPr>
    </w:lvl>
    <w:lvl w:ilvl="1" w:tplc="F2AEBD98">
      <w:start w:val="1"/>
      <w:numFmt w:val="bullet"/>
      <w:lvlText w:val="○"/>
      <w:lvlJc w:val="left"/>
      <w:pPr>
        <w:ind w:left="1440" w:hanging="360"/>
      </w:pPr>
    </w:lvl>
    <w:lvl w:ilvl="2" w:tplc="ECE22918">
      <w:start w:val="1"/>
      <w:numFmt w:val="bullet"/>
      <w:lvlText w:val="■"/>
      <w:lvlJc w:val="left"/>
      <w:pPr>
        <w:ind w:left="2160" w:hanging="360"/>
      </w:pPr>
    </w:lvl>
    <w:lvl w:ilvl="3" w:tplc="C1208382">
      <w:start w:val="1"/>
      <w:numFmt w:val="bullet"/>
      <w:lvlText w:val="●"/>
      <w:lvlJc w:val="left"/>
      <w:pPr>
        <w:ind w:left="2880" w:hanging="360"/>
      </w:pPr>
    </w:lvl>
    <w:lvl w:ilvl="4" w:tplc="B9880DD8">
      <w:start w:val="1"/>
      <w:numFmt w:val="bullet"/>
      <w:lvlText w:val="○"/>
      <w:lvlJc w:val="left"/>
      <w:pPr>
        <w:ind w:left="3600" w:hanging="360"/>
      </w:pPr>
    </w:lvl>
    <w:lvl w:ilvl="5" w:tplc="84E0F49E">
      <w:start w:val="1"/>
      <w:numFmt w:val="bullet"/>
      <w:lvlText w:val="■"/>
      <w:lvlJc w:val="left"/>
      <w:pPr>
        <w:ind w:left="4320" w:hanging="360"/>
      </w:pPr>
    </w:lvl>
    <w:lvl w:ilvl="6" w:tplc="D4B6F8BE">
      <w:start w:val="1"/>
      <w:numFmt w:val="bullet"/>
      <w:lvlText w:val="●"/>
      <w:lvlJc w:val="left"/>
      <w:pPr>
        <w:ind w:left="5040" w:hanging="360"/>
      </w:pPr>
    </w:lvl>
    <w:lvl w:ilvl="7" w:tplc="44F2829A">
      <w:start w:val="1"/>
      <w:numFmt w:val="bullet"/>
      <w:lvlText w:val="●"/>
      <w:lvlJc w:val="left"/>
      <w:pPr>
        <w:ind w:left="5760" w:hanging="360"/>
      </w:pPr>
    </w:lvl>
    <w:lvl w:ilvl="8" w:tplc="F1C6F896">
      <w:start w:val="1"/>
      <w:numFmt w:val="bullet"/>
      <w:lvlText w:val="●"/>
      <w:lvlJc w:val="left"/>
      <w:pPr>
        <w:ind w:left="6480" w:hanging="360"/>
      </w:pPr>
    </w:lvl>
  </w:abstractNum>
  <w:num w:numId="1" w16cid:durableId="2039309993">
    <w:abstractNumId w:val="1"/>
    <w:lvlOverride w:ilvl="0">
      <w:startOverride w:val="1"/>
    </w:lvlOverride>
  </w:num>
  <w:num w:numId="2" w16cid:durableId="2123529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131"/>
    <w:rsid w:val="003C6563"/>
    <w:rsid w:val="005C5461"/>
    <w:rsid w:val="009C2131"/>
    <w:rsid w:val="00AE1781"/>
    <w:rsid w:val="00B52A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6D2CF"/>
  <w15:docId w15:val="{6E39982A-004F-4E34-B324-7E1A2FB5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AU" w:eastAsia="en-AU"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ACPA Membership</cp:lastModifiedBy>
  <cp:revision>2</cp:revision>
  <dcterms:created xsi:type="dcterms:W3CDTF">2026-09-25T02:49:00Z</dcterms:created>
  <dcterms:modified xsi:type="dcterms:W3CDTF">2026-09-25T02:49:00Z</dcterms:modified>
</cp:coreProperties>
</file>