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left"/>
      </w:pPr>
      <w:r>
        <w:rPr>
          <w:rFonts w:ascii="Calibri" w:hAnsi="Calibri"/>
          <w:b/>
          <w:color w:val="8B6EAF"/>
          <w:sz w:val="44"/>
        </w:rPr>
        <w:t>Privacyverklaring</w:t>
      </w:r>
    </w:p>
    <w:p>
      <w:pPr>
        <w:spacing w:before="0" w:after="120"/>
      </w:pPr>
      <w:r>
        <w:rPr>
          <w:rFonts w:ascii="Calibri" w:hAnsi="Calibri"/>
          <w:color w:val="2C2C2C"/>
          <w:sz w:val="28"/>
        </w:rPr>
        <w:t>Nadia4All</w:t>
      </w:r>
    </w:p>
    <w:p>
      <w:pPr>
        <w:spacing w:before="40" w:after="40"/>
        <w:pBdr>
          <w:bottom w:val="single" w:sz="4" w:space="1" w:color="D8C8E8"/>
        </w:pBdr>
      </w:pPr>
    </w:p>
    <w:p>
      <w:pPr>
        <w:spacing w:after="200" w:before="0"/>
      </w:pPr>
      <w:r>
        <w:rPr>
          <w:rFonts w:ascii="Calibri" w:hAnsi="Calibri"/>
          <w:b w:val="0"/>
          <w:i w:val="0"/>
          <w:color w:val="2C2C2C"/>
          <w:sz w:val="22"/>
        </w:rPr>
        <w:t>Nadia4All, gevestigd aan Lorentzstraat 66, 4834 XC Breda, is verantwoordelijk voor de verwerking van persoonsgegevens zoals weergegeven in deze privacyverklaring. Nadia4All verwerkt persoonsgegevens in overeenstemming met de Algemene Verordening Gegevensbescherming (AVG).</w:t>
      </w:r>
    </w:p>
    <w:p>
      <w:pPr>
        <w:spacing w:before="320" w:after="80"/>
      </w:pPr>
      <w:r>
        <w:rPr>
          <w:rFonts w:ascii="Calibri" w:hAnsi="Calibri"/>
          <w:b/>
          <w:color w:val="8B6EAF"/>
          <w:sz w:val="26"/>
        </w:rPr>
        <w:t>1. Persoonsgegevens die wij verwerken</w:t>
      </w:r>
    </w:p>
    <w:p>
      <w:pPr>
        <w:spacing w:after="80" w:before="0"/>
      </w:pPr>
      <w:r>
        <w:rPr>
          <w:rFonts w:ascii="Calibri" w:hAnsi="Calibri"/>
          <w:b w:val="0"/>
          <w:i w:val="0"/>
          <w:color w:val="2C2C2C"/>
          <w:sz w:val="22"/>
        </w:rPr>
        <w:t>Nadia4All verwerkt jouw persoonsgegevens doordat je gebruik maakt van onze diensten en/of omdat je deze zelf aan ons verstrekt. Wij verwerken onder andere:</w:t>
      </w:r>
    </w:p>
    <w:p>
      <w:pPr>
        <w:pStyle w:val="ListBullet"/>
        <w:spacing w:after="40" w:before="0"/>
        <w:ind w:left="567"/>
      </w:pPr>
      <w:r>
        <w:rPr>
          <w:rFonts w:ascii="Calibri" w:hAnsi="Calibri"/>
          <w:b w:val="0"/>
          <w:i w:val="0"/>
          <w:color w:val="2C2C2C"/>
          <w:sz w:val="22"/>
        </w:rPr>
        <w:t>Voor- en achternaam</w:t>
      </w:r>
    </w:p>
    <w:p>
      <w:pPr>
        <w:pStyle w:val="ListBullet"/>
        <w:spacing w:after="40" w:before="0"/>
        <w:ind w:left="567"/>
      </w:pPr>
      <w:r>
        <w:rPr>
          <w:rFonts w:ascii="Calibri" w:hAnsi="Calibri"/>
          <w:b w:val="0"/>
          <w:i w:val="0"/>
          <w:color w:val="2C2C2C"/>
          <w:sz w:val="22"/>
        </w:rPr>
        <w:t>E-mailadres</w:t>
      </w:r>
    </w:p>
    <w:p>
      <w:pPr>
        <w:pStyle w:val="ListBullet"/>
        <w:spacing w:after="40" w:before="0"/>
        <w:ind w:left="567"/>
      </w:pPr>
      <w:r>
        <w:rPr>
          <w:rFonts w:ascii="Calibri" w:hAnsi="Calibri"/>
          <w:b w:val="0"/>
          <w:i w:val="0"/>
          <w:color w:val="2C2C2C"/>
          <w:sz w:val="22"/>
        </w:rPr>
        <w:t>Telefoonnummer (indien ingevuld)</w:t>
      </w:r>
    </w:p>
    <w:p>
      <w:pPr>
        <w:pStyle w:val="ListBullet"/>
        <w:spacing w:after="40" w:before="0"/>
        <w:ind w:left="567"/>
      </w:pPr>
      <w:r>
        <w:rPr>
          <w:rFonts w:ascii="Calibri" w:hAnsi="Calibri"/>
          <w:b w:val="0"/>
          <w:i w:val="0"/>
          <w:color w:val="2C2C2C"/>
          <w:sz w:val="22"/>
        </w:rPr>
        <w:t>Bedrijfsnaam</w:t>
      </w:r>
    </w:p>
    <w:p>
      <w:pPr>
        <w:pStyle w:val="ListBullet"/>
        <w:spacing w:after="40" w:before="0"/>
        <w:ind w:left="567"/>
      </w:pPr>
      <w:r>
        <w:rPr>
          <w:rFonts w:ascii="Calibri" w:hAnsi="Calibri"/>
          <w:b w:val="0"/>
          <w:i w:val="0"/>
          <w:color w:val="2C2C2C"/>
          <w:sz w:val="22"/>
        </w:rPr>
        <w:t>Social media accounts (zoals Instagram, TikTok en Facebook)</w:t>
      </w:r>
    </w:p>
    <w:p>
      <w:pPr>
        <w:pStyle w:val="ListBullet"/>
        <w:spacing w:after="40" w:before="0"/>
        <w:ind w:left="567"/>
      </w:pPr>
      <w:r>
        <w:rPr>
          <w:rFonts w:ascii="Calibri" w:hAnsi="Calibri"/>
          <w:b w:val="0"/>
          <w:i w:val="0"/>
          <w:color w:val="2C2C2C"/>
          <w:sz w:val="22"/>
        </w:rPr>
        <w:t>IP-adres</w:t>
      </w:r>
    </w:p>
    <w:p>
      <w:pPr>
        <w:pStyle w:val="ListBullet"/>
        <w:spacing w:after="40" w:before="0"/>
        <w:ind w:left="567"/>
      </w:pPr>
      <w:r>
        <w:rPr>
          <w:rFonts w:ascii="Calibri" w:hAnsi="Calibri"/>
          <w:b w:val="0"/>
          <w:i w:val="0"/>
          <w:color w:val="2C2C2C"/>
          <w:sz w:val="22"/>
        </w:rPr>
        <w:t>Gegevens over jouw gedrag op onze website en funnels</w:t>
      </w:r>
    </w:p>
    <w:p>
      <w:pPr>
        <w:pStyle w:val="ListBullet"/>
        <w:spacing w:after="40" w:before="0"/>
        <w:ind w:left="567"/>
      </w:pPr>
      <w:r>
        <w:rPr>
          <w:rFonts w:ascii="Calibri" w:hAnsi="Calibri"/>
          <w:b w:val="0"/>
          <w:i w:val="0"/>
          <w:color w:val="2C2C2C"/>
          <w:sz w:val="22"/>
        </w:rPr>
        <w:t>Gegevens die je invult via formulieren (zoals gratis weggevers, enquêtes of strategiecalls)</w:t>
      </w:r>
    </w:p>
    <w:p>
      <w:pPr>
        <w:spacing w:before="40" w:after="40"/>
        <w:pBdr>
          <w:bottom w:val="single" w:sz="4" w:space="1" w:color="D8C8E8"/>
        </w:pBdr>
      </w:pPr>
    </w:p>
    <w:p>
      <w:pPr>
        <w:spacing w:before="320" w:after="80"/>
      </w:pPr>
      <w:r>
        <w:rPr>
          <w:rFonts w:ascii="Calibri" w:hAnsi="Calibri"/>
          <w:b/>
          <w:color w:val="8B6EAF"/>
          <w:sz w:val="26"/>
        </w:rPr>
        <w:t>2. Met welk doel en op welke grondslag verwerken wij persoonsgegevens?</w:t>
      </w:r>
    </w:p>
    <w:p>
      <w:pPr>
        <w:spacing w:after="80" w:before="0"/>
      </w:pPr>
      <w:r>
        <w:rPr>
          <w:rFonts w:ascii="Calibri" w:hAnsi="Calibri"/>
          <w:b w:val="0"/>
          <w:i w:val="0"/>
          <w:color w:val="2C2C2C"/>
          <w:sz w:val="22"/>
        </w:rPr>
        <w:t>Nadia4All verwerkt jouw gegevens voor de volgende doelen en op de volgende grondslagen:</w:t>
      </w:r>
    </w:p>
    <w:tbl>
      <w:tblPr>
        <w:tblStyle w:val="TableGrid"/>
        <w:tblW w:type="auto" w:w="0"/>
        <w:tblLook w:firstColumn="1" w:firstRow="1" w:lastColumn="0" w:lastRow="0" w:noHBand="0" w:noVBand="1" w:val="04A0"/>
      </w:tblPr>
      <w:tblGrid>
        <w:gridCol w:w="4533"/>
        <w:gridCol w:w="4533"/>
      </w:tblGrid>
      <w:tr>
        <w:tc>
          <w:tcPr>
            <w:tcW w:type="dxa" w:w="4819"/>
            <w:shd w:val="clear" w:color="auto" w:fill="8B6EAF"/>
          </w:tcPr>
          <w:p>
            <w:r>
              <w:rPr>
                <w:rFonts w:ascii="Calibri" w:hAnsi="Calibri"/>
                <w:b/>
                <w:color w:val="FFFFFF"/>
                <w:sz w:val="20"/>
              </w:rPr>
              <w:t>Doel</w:t>
            </w:r>
          </w:p>
        </w:tc>
        <w:tc>
          <w:tcPr>
            <w:tcW w:type="dxa" w:w="3969"/>
            <w:shd w:val="clear" w:color="auto" w:fill="8B6EAF"/>
          </w:tcPr>
          <w:p>
            <w:r>
              <w:rPr>
                <w:rFonts w:ascii="Calibri" w:hAnsi="Calibri"/>
                <w:b/>
                <w:color w:val="FFFFFF"/>
                <w:sz w:val="20"/>
              </w:rPr>
              <w:t>Rechtsgrond</w:t>
            </w:r>
          </w:p>
        </w:tc>
      </w:tr>
      <w:tr>
        <w:tc>
          <w:tcPr>
            <w:tcW w:type="dxa" w:w="4819"/>
          </w:tcPr>
          <w:p>
            <w:r>
              <w:rPr>
                <w:rFonts w:ascii="Calibri" w:hAnsi="Calibri"/>
                <w:sz w:val="20"/>
              </w:rPr>
              <w:t>Leveren van social media diensten en ondersteuning</w:t>
            </w:r>
          </w:p>
        </w:tc>
        <w:tc>
          <w:tcPr>
            <w:tcW w:type="dxa" w:w="3969"/>
          </w:tcPr>
          <w:p>
            <w:r>
              <w:rPr>
                <w:rFonts w:ascii="Calibri" w:hAnsi="Calibri"/>
                <w:sz w:val="20"/>
              </w:rPr>
              <w:t>Uitvoering van de overeenkomst (art. 6 lid 1 sub b AVG)</w:t>
            </w:r>
          </w:p>
        </w:tc>
      </w:tr>
      <w:tr>
        <w:tc>
          <w:tcPr>
            <w:tcW w:type="dxa" w:w="4819"/>
          </w:tcPr>
          <w:p>
            <w:r>
              <w:rPr>
                <w:rFonts w:ascii="Calibri" w:hAnsi="Calibri"/>
                <w:sz w:val="20"/>
              </w:rPr>
              <w:t>Aanbieden van producten zoals contentkalenders en trainingen</w:t>
            </w:r>
          </w:p>
        </w:tc>
        <w:tc>
          <w:tcPr>
            <w:tcW w:type="dxa" w:w="3969"/>
          </w:tcPr>
          <w:p>
            <w:r>
              <w:rPr>
                <w:rFonts w:ascii="Calibri" w:hAnsi="Calibri"/>
                <w:sz w:val="20"/>
              </w:rPr>
              <w:t>Uitvoering van de overeenkomst (art. 6 lid 1 sub b AVG)</w:t>
            </w:r>
          </w:p>
        </w:tc>
      </w:tr>
      <w:tr>
        <w:tc>
          <w:tcPr>
            <w:tcW w:type="dxa" w:w="4819"/>
          </w:tcPr>
          <w:p>
            <w:r>
              <w:rPr>
                <w:rFonts w:ascii="Calibri" w:hAnsi="Calibri"/>
                <w:sz w:val="20"/>
              </w:rPr>
              <w:t>Verwerken van betalingen</w:t>
            </w:r>
          </w:p>
        </w:tc>
        <w:tc>
          <w:tcPr>
            <w:tcW w:type="dxa" w:w="3969"/>
          </w:tcPr>
          <w:p>
            <w:r>
              <w:rPr>
                <w:rFonts w:ascii="Calibri" w:hAnsi="Calibri"/>
                <w:sz w:val="20"/>
              </w:rPr>
              <w:t>Uitvoering van de overeenkomst (art. 6 lid 1 sub b AVG)</w:t>
            </w:r>
          </w:p>
        </w:tc>
      </w:tr>
      <w:tr>
        <w:tc>
          <w:tcPr>
            <w:tcW w:type="dxa" w:w="4819"/>
          </w:tcPr>
          <w:p>
            <w:r>
              <w:rPr>
                <w:rFonts w:ascii="Calibri" w:hAnsi="Calibri"/>
                <w:sz w:val="20"/>
              </w:rPr>
              <w:t>Versturen van e-mails, nieuwsbrieven en funnels</w:t>
            </w:r>
          </w:p>
        </w:tc>
        <w:tc>
          <w:tcPr>
            <w:tcW w:type="dxa" w:w="3969"/>
          </w:tcPr>
          <w:p>
            <w:r>
              <w:rPr>
                <w:rFonts w:ascii="Calibri" w:hAnsi="Calibri"/>
                <w:sz w:val="20"/>
              </w:rPr>
              <w:t>Toestemming (art. 6 lid 1 sub a AVG)</w:t>
            </w:r>
          </w:p>
        </w:tc>
      </w:tr>
      <w:tr>
        <w:tc>
          <w:tcPr>
            <w:tcW w:type="dxa" w:w="4819"/>
          </w:tcPr>
          <w:p>
            <w:r>
              <w:rPr>
                <w:rFonts w:ascii="Calibri" w:hAnsi="Calibri"/>
                <w:sz w:val="20"/>
              </w:rPr>
              <w:t>Opvolgen van leads en potentiële klanten</w:t>
            </w:r>
          </w:p>
        </w:tc>
        <w:tc>
          <w:tcPr>
            <w:tcW w:type="dxa" w:w="3969"/>
          </w:tcPr>
          <w:p>
            <w:r>
              <w:rPr>
                <w:rFonts w:ascii="Calibri" w:hAnsi="Calibri"/>
                <w:sz w:val="20"/>
              </w:rPr>
              <w:t>Gerechtvaardigd belang (art. 6 lid 1 sub f AVG)</w:t>
            </w:r>
          </w:p>
        </w:tc>
      </w:tr>
      <w:tr>
        <w:tc>
          <w:tcPr>
            <w:tcW w:type="dxa" w:w="4819"/>
          </w:tcPr>
          <w:p>
            <w:r>
              <w:rPr>
                <w:rFonts w:ascii="Calibri" w:hAnsi="Calibri"/>
                <w:sz w:val="20"/>
              </w:rPr>
              <w:t>Analyseren van websitegedrag ter verbetering van marketing</w:t>
            </w:r>
          </w:p>
        </w:tc>
        <w:tc>
          <w:tcPr>
            <w:tcW w:type="dxa" w:w="3969"/>
          </w:tcPr>
          <w:p>
            <w:r>
              <w:rPr>
                <w:rFonts w:ascii="Calibri" w:hAnsi="Calibri"/>
                <w:sz w:val="20"/>
              </w:rPr>
              <w:t>Toestemming (art. 6 lid 1 sub a AVG)</w:t>
            </w:r>
          </w:p>
        </w:tc>
      </w:tr>
      <w:tr>
        <w:tc>
          <w:tcPr>
            <w:tcW w:type="dxa" w:w="4819"/>
          </w:tcPr>
          <w:p>
            <w:r>
              <w:rPr>
                <w:rFonts w:ascii="Calibri" w:hAnsi="Calibri"/>
                <w:sz w:val="20"/>
              </w:rPr>
              <w:t>Tonen van gerichte advertenties (retargeting)</w:t>
            </w:r>
          </w:p>
        </w:tc>
        <w:tc>
          <w:tcPr>
            <w:tcW w:type="dxa" w:w="3969"/>
          </w:tcPr>
          <w:p>
            <w:r>
              <w:rPr>
                <w:rFonts w:ascii="Calibri" w:hAnsi="Calibri"/>
                <w:sz w:val="20"/>
              </w:rPr>
              <w:t>Toestemming (art. 6 lid 1 sub a AVG)</w:t>
            </w:r>
          </w:p>
        </w:tc>
      </w:tr>
      <w:tr>
        <w:tc>
          <w:tcPr>
            <w:tcW w:type="dxa" w:w="4819"/>
          </w:tcPr>
          <w:p>
            <w:r>
              <w:rPr>
                <w:rFonts w:ascii="Calibri" w:hAnsi="Calibri"/>
                <w:sz w:val="20"/>
              </w:rPr>
              <w:t>Bijhouden van administratie en boekhouding</w:t>
            </w:r>
          </w:p>
        </w:tc>
        <w:tc>
          <w:tcPr>
            <w:tcW w:type="dxa" w:w="3969"/>
          </w:tcPr>
          <w:p>
            <w:r>
              <w:rPr>
                <w:rFonts w:ascii="Calibri" w:hAnsi="Calibri"/>
                <w:sz w:val="20"/>
              </w:rPr>
              <w:t>Wettelijke verplichting (art. 6 lid 1 sub c AVG)</w:t>
            </w:r>
          </w:p>
        </w:tc>
      </w:tr>
    </w:tbl>
    <w:p>
      <w:pPr>
        <w:spacing w:after="80"/>
      </w:pPr>
    </w:p>
    <w:p>
      <w:pPr>
        <w:spacing w:before="40" w:after="40"/>
        <w:pBdr>
          <w:bottom w:val="single" w:sz="4" w:space="1" w:color="D8C8E8"/>
        </w:pBdr>
      </w:pPr>
    </w:p>
    <w:p>
      <w:pPr>
        <w:spacing w:before="320" w:after="80"/>
      </w:pPr>
      <w:r>
        <w:rPr>
          <w:rFonts w:ascii="Calibri" w:hAnsi="Calibri"/>
          <w:b/>
          <w:color w:val="8B6EAF"/>
          <w:sz w:val="26"/>
        </w:rPr>
        <w:t>3. E-mailmarketing en funnels</w:t>
      </w:r>
    </w:p>
    <w:p>
      <w:pPr>
        <w:spacing w:after="80" w:before="0"/>
      </w:pPr>
      <w:r>
        <w:rPr>
          <w:rFonts w:ascii="Calibri" w:hAnsi="Calibri"/>
          <w:b w:val="0"/>
          <w:i w:val="0"/>
          <w:color w:val="2C2C2C"/>
          <w:sz w:val="22"/>
        </w:rPr>
        <w:t>Wanneer je je inschrijft voor een gratis weggever, training of nieuwsbrief, geef je toestemming om e-mails te ontvangen van Nadia4All. Je kunt je op elk moment uitschrijven via de link onderaan iedere e-mail.</w:t>
      </w:r>
    </w:p>
    <w:p>
      <w:pPr>
        <w:spacing w:after="80" w:before="0"/>
      </w:pPr>
      <w:r>
        <w:rPr>
          <w:rFonts w:ascii="Calibri" w:hAnsi="Calibri"/>
          <w:b w:val="0"/>
          <w:i w:val="0"/>
          <w:color w:val="2C2C2C"/>
          <w:sz w:val="22"/>
        </w:rPr>
        <w:t>Voor e-mailmarketing en funnels maken wij gebruik van Systeme.io. Met Systeme.io is een verwerkersovereenkomst gesloten om te waarborgen dat jouw gegevens vertrouwelijk en conform de AVG worden verwerkt.</w:t>
      </w:r>
    </w:p>
    <w:p>
      <w:pPr>
        <w:spacing w:before="40" w:after="40"/>
        <w:pBdr>
          <w:bottom w:val="single" w:sz="4" w:space="1" w:color="D8C8E8"/>
        </w:pBdr>
      </w:pPr>
    </w:p>
    <w:p>
      <w:pPr>
        <w:spacing w:before="320" w:after="80"/>
      </w:pPr>
      <w:r>
        <w:rPr>
          <w:rFonts w:ascii="Calibri" w:hAnsi="Calibri"/>
          <w:b/>
          <w:color w:val="8B6EAF"/>
          <w:sz w:val="26"/>
        </w:rPr>
        <w:t>4. Hoe lang bewaren wij persoonsgegevens?</w:t>
      </w:r>
    </w:p>
    <w:p>
      <w:pPr>
        <w:spacing w:after="80" w:before="0"/>
      </w:pPr>
      <w:r>
        <w:rPr>
          <w:rFonts w:ascii="Calibri" w:hAnsi="Calibri"/>
          <w:b w:val="0"/>
          <w:i w:val="0"/>
          <w:color w:val="2C2C2C"/>
          <w:sz w:val="22"/>
        </w:rPr>
        <w:t>Nadia4All bewaart persoonsgegevens niet langer dan strikt noodzakelijk:</w:t>
      </w:r>
    </w:p>
    <w:p>
      <w:pPr>
        <w:pStyle w:val="ListBullet"/>
        <w:spacing w:after="40" w:before="0"/>
        <w:ind w:left="567"/>
      </w:pPr>
      <w:r>
        <w:rPr>
          <w:rFonts w:ascii="Calibri" w:hAnsi="Calibri"/>
          <w:b w:val="0"/>
          <w:i w:val="0"/>
          <w:color w:val="2C2C2C"/>
          <w:sz w:val="22"/>
        </w:rPr>
        <w:t>Klantgegevens (facturen, betalingen): tot 7 jaar na het einde van de overeenkomst (wettelijke bewaarplicht)</w:t>
      </w:r>
    </w:p>
    <w:p>
      <w:pPr>
        <w:pStyle w:val="ListBullet"/>
        <w:spacing w:after="40" w:before="0"/>
        <w:ind w:left="567"/>
      </w:pPr>
      <w:r>
        <w:rPr>
          <w:rFonts w:ascii="Calibri" w:hAnsi="Calibri"/>
          <w:b w:val="0"/>
          <w:i w:val="0"/>
          <w:color w:val="2C2C2C"/>
          <w:sz w:val="22"/>
        </w:rPr>
        <w:t>Lead- en marketinggegevens: totdat je je uitschrijft of je toestemming intrekt</w:t>
      </w:r>
    </w:p>
    <w:p>
      <w:pPr>
        <w:pStyle w:val="ListBullet"/>
        <w:spacing w:after="40" w:before="0"/>
        <w:ind w:left="567"/>
      </w:pPr>
      <w:r>
        <w:rPr>
          <w:rFonts w:ascii="Calibri" w:hAnsi="Calibri"/>
          <w:b w:val="0"/>
          <w:i w:val="0"/>
          <w:color w:val="2C2C2C"/>
          <w:sz w:val="22"/>
        </w:rPr>
        <w:t>Funnelgegevens: maximaal 2 jaar na de laatste interactie</w:t>
      </w:r>
    </w:p>
    <w:p>
      <w:pPr>
        <w:spacing w:before="40" w:after="40"/>
        <w:pBdr>
          <w:bottom w:val="single" w:sz="4" w:space="1" w:color="D8C8E8"/>
        </w:pBdr>
      </w:pPr>
    </w:p>
    <w:p>
      <w:pPr>
        <w:spacing w:before="320" w:after="80"/>
      </w:pPr>
      <w:r>
        <w:rPr>
          <w:rFonts w:ascii="Calibri" w:hAnsi="Calibri"/>
          <w:b/>
          <w:color w:val="8B6EAF"/>
          <w:sz w:val="26"/>
        </w:rPr>
        <w:t>5. Delen van persoonsgegevens met derden</w:t>
      </w:r>
    </w:p>
    <w:p>
      <w:pPr>
        <w:spacing w:after="80" w:before="0"/>
      </w:pPr>
      <w:r>
        <w:rPr>
          <w:rFonts w:ascii="Calibri" w:hAnsi="Calibri"/>
          <w:b w:val="0"/>
          <w:i w:val="0"/>
          <w:color w:val="2C2C2C"/>
          <w:sz w:val="22"/>
        </w:rPr>
        <w:t>Nadia4All verkoopt jouw gegevens niet aan derden. Wij delen gegevens alleen met partijen die noodzakelijk zijn voor onze dienstverlening:</w:t>
      </w:r>
    </w:p>
    <w:p>
      <w:pPr>
        <w:pStyle w:val="ListBullet"/>
        <w:spacing w:after="40" w:before="0"/>
        <w:ind w:left="567"/>
      </w:pPr>
      <w:r>
        <w:rPr>
          <w:rFonts w:ascii="Calibri" w:hAnsi="Calibri"/>
          <w:b w:val="0"/>
          <w:i w:val="0"/>
          <w:color w:val="2C2C2C"/>
          <w:sz w:val="22"/>
        </w:rPr>
        <w:t>Systeme.io – e-mailmarketing en funnels (verwerkersovereenkomst aanwezig)</w:t>
      </w:r>
    </w:p>
    <w:p>
      <w:pPr>
        <w:pStyle w:val="ListBullet"/>
        <w:spacing w:after="40" w:before="0"/>
        <w:ind w:left="567"/>
      </w:pPr>
      <w:r>
        <w:rPr>
          <w:rFonts w:ascii="Calibri" w:hAnsi="Calibri"/>
          <w:b w:val="0"/>
          <w:i w:val="0"/>
          <w:color w:val="2C2C2C"/>
          <w:sz w:val="22"/>
        </w:rPr>
        <w:t>Betaalproviders – voor het verwerken van betalingen</w:t>
      </w:r>
    </w:p>
    <w:p>
      <w:pPr>
        <w:pStyle w:val="ListBullet"/>
        <w:spacing w:after="40" w:before="0"/>
        <w:ind w:left="567"/>
      </w:pPr>
      <w:r>
        <w:rPr>
          <w:rFonts w:ascii="Calibri" w:hAnsi="Calibri"/>
          <w:b w:val="0"/>
          <w:i w:val="0"/>
          <w:color w:val="2C2C2C"/>
          <w:sz w:val="22"/>
        </w:rPr>
        <w:t>Meta Platforms (Facebook/Instagram) – voor advertenties en retargeting</w:t>
      </w:r>
    </w:p>
    <w:p>
      <w:pPr>
        <w:pStyle w:val="ListBullet"/>
        <w:spacing w:after="40" w:before="0"/>
        <w:ind w:left="567"/>
      </w:pPr>
      <w:r>
        <w:rPr>
          <w:rFonts w:ascii="Calibri" w:hAnsi="Calibri"/>
          <w:b w:val="0"/>
          <w:i w:val="0"/>
          <w:color w:val="2C2C2C"/>
          <w:sz w:val="22"/>
        </w:rPr>
        <w:t>TikTok – voor advertenties en retargeting</w:t>
      </w:r>
    </w:p>
    <w:p>
      <w:pPr>
        <w:spacing w:after="80" w:before="0"/>
      </w:pPr>
      <w:r>
        <w:rPr>
          <w:rFonts w:ascii="Calibri" w:hAnsi="Calibri"/>
          <w:b w:val="0"/>
          <w:i w:val="0"/>
          <w:color w:val="2C2C2C"/>
          <w:sz w:val="22"/>
        </w:rPr>
        <w:t>Let op: Meta Platforms en TikTok verwerken gegevens (deels) buiten de Europese Unie. Zij doen dit op basis van standaard contractbepalingen of andere door de EU erkende waarborgen. Raadpleeg hun eigen privacybeleid voor meer informatie.</w:t>
      </w:r>
    </w:p>
    <w:p>
      <w:pPr>
        <w:spacing w:before="40" w:after="40"/>
        <w:pBdr>
          <w:bottom w:val="single" w:sz="4" w:space="1" w:color="D8C8E8"/>
        </w:pBdr>
      </w:pPr>
    </w:p>
    <w:p>
      <w:pPr>
        <w:spacing w:before="320" w:after="80"/>
      </w:pPr>
      <w:r>
        <w:rPr>
          <w:rFonts w:ascii="Calibri" w:hAnsi="Calibri"/>
          <w:b/>
          <w:color w:val="8B6EAF"/>
          <w:sz w:val="26"/>
        </w:rPr>
        <w:t>6. Cookies en tracking</w:t>
      </w:r>
    </w:p>
    <w:p>
      <w:pPr>
        <w:spacing w:after="80" w:before="0"/>
      </w:pPr>
      <w:r>
        <w:rPr>
          <w:rFonts w:ascii="Calibri" w:hAnsi="Calibri"/>
          <w:b w:val="0"/>
          <w:i w:val="0"/>
          <w:color w:val="2C2C2C"/>
          <w:sz w:val="22"/>
        </w:rPr>
        <w:t>Nadia4All gebruikt cookies en vergelijkbare technieken voor:</w:t>
      </w:r>
    </w:p>
    <w:p>
      <w:pPr>
        <w:pStyle w:val="ListBullet"/>
        <w:spacing w:after="40" w:before="0"/>
        <w:ind w:left="567"/>
      </w:pPr>
      <w:r>
        <w:rPr>
          <w:rFonts w:ascii="Calibri" w:hAnsi="Calibri"/>
          <w:b w:val="0"/>
          <w:i w:val="0"/>
          <w:color w:val="2C2C2C"/>
          <w:sz w:val="22"/>
        </w:rPr>
        <w:t>Websitefunctionaliteit (noodzakelijke cookies)</w:t>
      </w:r>
    </w:p>
    <w:p>
      <w:pPr>
        <w:pStyle w:val="ListBullet"/>
        <w:spacing w:after="40" w:before="0"/>
        <w:ind w:left="567"/>
      </w:pPr>
      <w:r>
        <w:rPr>
          <w:rFonts w:ascii="Calibri" w:hAnsi="Calibri"/>
          <w:b w:val="0"/>
          <w:i w:val="0"/>
          <w:color w:val="2C2C2C"/>
          <w:sz w:val="22"/>
        </w:rPr>
        <w:t>Analyse van bezoekersgedrag (analytische cookies)</w:t>
      </w:r>
    </w:p>
    <w:p>
      <w:pPr>
        <w:pStyle w:val="ListBullet"/>
        <w:spacing w:after="40" w:before="0"/>
        <w:ind w:left="567"/>
      </w:pPr>
      <w:r>
        <w:rPr>
          <w:rFonts w:ascii="Calibri" w:hAnsi="Calibri"/>
          <w:b w:val="0"/>
          <w:i w:val="0"/>
          <w:color w:val="2C2C2C"/>
          <w:sz w:val="22"/>
        </w:rPr>
        <w:t>Marketing en advertenties, zoals retargeting (marketingcookies)</w:t>
      </w:r>
    </w:p>
    <w:p>
      <w:pPr>
        <w:spacing w:after="80" w:before="0"/>
      </w:pPr>
      <w:r>
        <w:rPr>
          <w:rFonts w:ascii="Calibri" w:hAnsi="Calibri"/>
          <w:b w:val="0"/>
          <w:i w:val="0"/>
          <w:color w:val="2C2C2C"/>
          <w:sz w:val="22"/>
        </w:rPr>
        <w:t>Bij het bezoeken van onze website of funnel vragen wij jouw toestemming voor niet-noodzakelijke cookies (zoals marketing- en analytische cookies). Je kunt jouw cookievoorkeuren op elk moment aanpassen.</w:t>
      </w:r>
    </w:p>
    <w:p>
      <w:pPr>
        <w:spacing w:before="40" w:after="40"/>
        <w:pBdr>
          <w:bottom w:val="single" w:sz="4" w:space="1" w:color="D8C8E8"/>
        </w:pBdr>
      </w:pPr>
    </w:p>
    <w:p>
      <w:pPr>
        <w:spacing w:before="320" w:after="80"/>
      </w:pPr>
      <w:r>
        <w:rPr>
          <w:rFonts w:ascii="Calibri" w:hAnsi="Calibri"/>
          <w:b/>
          <w:color w:val="8B6EAF"/>
          <w:sz w:val="26"/>
        </w:rPr>
        <w:t>7. Jouw rechten als betrokkene</w:t>
      </w:r>
    </w:p>
    <w:p>
      <w:pPr>
        <w:spacing w:after="80" w:before="0"/>
      </w:pPr>
      <w:r>
        <w:rPr>
          <w:rFonts w:ascii="Calibri" w:hAnsi="Calibri"/>
          <w:b w:val="0"/>
          <w:i w:val="0"/>
          <w:color w:val="2C2C2C"/>
          <w:sz w:val="22"/>
        </w:rPr>
        <w:t>Op grond van de AVG heb je de volgende rechten:</w:t>
      </w:r>
    </w:p>
    <w:p>
      <w:pPr>
        <w:pStyle w:val="ListBullet"/>
        <w:spacing w:after="40" w:before="0"/>
        <w:ind w:left="567"/>
      </w:pPr>
      <w:r>
        <w:rPr>
          <w:rFonts w:ascii="Calibri" w:hAnsi="Calibri"/>
          <w:b w:val="0"/>
          <w:i w:val="0"/>
          <w:color w:val="2C2C2C"/>
          <w:sz w:val="22"/>
        </w:rPr>
        <w:t>Recht op inzage – je mag opvragen welke gegevens wij van jou verwerken</w:t>
      </w:r>
    </w:p>
    <w:p>
      <w:pPr>
        <w:pStyle w:val="ListBullet"/>
        <w:spacing w:after="40" w:before="0"/>
        <w:ind w:left="567"/>
      </w:pPr>
      <w:r>
        <w:rPr>
          <w:rFonts w:ascii="Calibri" w:hAnsi="Calibri"/>
          <w:b w:val="0"/>
          <w:i w:val="0"/>
          <w:color w:val="2C2C2C"/>
          <w:sz w:val="22"/>
        </w:rPr>
        <w:t>Recht op correctie – je kunt onjuiste gegevens laten corrigeren</w:t>
      </w:r>
    </w:p>
    <w:p>
      <w:pPr>
        <w:pStyle w:val="ListBullet"/>
        <w:spacing w:after="40" w:before="0"/>
        <w:ind w:left="567"/>
      </w:pPr>
      <w:r>
        <w:rPr>
          <w:rFonts w:ascii="Calibri" w:hAnsi="Calibri"/>
          <w:b w:val="0"/>
          <w:i w:val="0"/>
          <w:color w:val="2C2C2C"/>
          <w:sz w:val="22"/>
        </w:rPr>
        <w:t>Recht op verwijdering ('recht om vergeten te worden')</w:t>
      </w:r>
    </w:p>
    <w:p>
      <w:pPr>
        <w:pStyle w:val="ListBullet"/>
        <w:spacing w:after="40" w:before="0"/>
        <w:ind w:left="567"/>
      </w:pPr>
      <w:r>
        <w:rPr>
          <w:rFonts w:ascii="Calibri" w:hAnsi="Calibri"/>
          <w:b w:val="0"/>
          <w:i w:val="0"/>
          <w:color w:val="2C2C2C"/>
          <w:sz w:val="22"/>
        </w:rPr>
        <w:t>Recht op beperking van de verwerking</w:t>
      </w:r>
    </w:p>
    <w:p>
      <w:pPr>
        <w:pStyle w:val="ListBullet"/>
        <w:spacing w:after="40" w:before="0"/>
        <w:ind w:left="567"/>
      </w:pPr>
      <w:r>
        <w:rPr>
          <w:rFonts w:ascii="Calibri" w:hAnsi="Calibri"/>
          <w:b w:val="0"/>
          <w:i w:val="0"/>
          <w:color w:val="2C2C2C"/>
          <w:sz w:val="22"/>
        </w:rPr>
        <w:t>Recht op dataportabiliteit – je kunt jouw gegevens in een leesbaar formaat opvragen</w:t>
      </w:r>
    </w:p>
    <w:p>
      <w:pPr>
        <w:pStyle w:val="ListBullet"/>
        <w:spacing w:after="40" w:before="0"/>
        <w:ind w:left="567"/>
      </w:pPr>
      <w:r>
        <w:rPr>
          <w:rFonts w:ascii="Calibri" w:hAnsi="Calibri"/>
          <w:b w:val="0"/>
          <w:i w:val="0"/>
          <w:color w:val="2C2C2C"/>
          <w:sz w:val="22"/>
        </w:rPr>
        <w:t>Recht op bezwaar – met name bij directmarketingactiviteiten</w:t>
      </w:r>
    </w:p>
    <w:p>
      <w:pPr>
        <w:pStyle w:val="ListBullet"/>
        <w:spacing w:after="40" w:before="0"/>
        <w:ind w:left="567"/>
      </w:pPr>
      <w:r>
        <w:rPr>
          <w:rFonts w:ascii="Calibri" w:hAnsi="Calibri"/>
          <w:b w:val="0"/>
          <w:i w:val="0"/>
          <w:color w:val="2C2C2C"/>
          <w:sz w:val="22"/>
        </w:rPr>
        <w:t>Recht om toestemming in te trekken – wanneer verwerking op toestemming is gebaseerd</w:t>
      </w:r>
    </w:p>
    <w:p>
      <w:pPr>
        <w:spacing w:after="80" w:before="0"/>
      </w:pPr>
      <w:r>
        <w:rPr>
          <w:rFonts w:ascii="Calibri" w:hAnsi="Calibri"/>
          <w:b w:val="0"/>
          <w:i w:val="0"/>
          <w:color w:val="2C2C2C"/>
          <w:sz w:val="22"/>
        </w:rPr>
        <w:t>Stuur een verzoek naar: info@nadia4all.com</w:t>
      </w:r>
    </w:p>
    <w:p>
      <w:pPr>
        <w:spacing w:after="80" w:before="0"/>
      </w:pPr>
      <w:r>
        <w:rPr>
          <w:rFonts w:ascii="Calibri" w:hAnsi="Calibri"/>
          <w:b w:val="0"/>
          <w:i w:val="0"/>
          <w:color w:val="2C2C2C"/>
          <w:sz w:val="22"/>
        </w:rPr>
        <w:t>Je hebt ook het recht een klacht in te dienen bij de Autoriteit Persoonsgegevens. Kijk hiervoor op autoriteitpersoonsgegevens.nl.</w:t>
      </w:r>
    </w:p>
    <w:p>
      <w:pPr>
        <w:spacing w:before="40" w:after="40"/>
        <w:pBdr>
          <w:bottom w:val="single" w:sz="4" w:space="1" w:color="D8C8E8"/>
        </w:pBdr>
      </w:pPr>
    </w:p>
    <w:p>
      <w:pPr>
        <w:spacing w:before="320" w:after="80"/>
      </w:pPr>
      <w:r>
        <w:rPr>
          <w:rFonts w:ascii="Calibri" w:hAnsi="Calibri"/>
          <w:b/>
          <w:color w:val="8B6EAF"/>
          <w:sz w:val="26"/>
        </w:rPr>
        <w:t>8. Beveiliging van persoonsgegevens</w:t>
      </w:r>
    </w:p>
    <w:p>
      <w:pPr>
        <w:spacing w:after="80" w:before="0"/>
      </w:pPr>
      <w:r>
        <w:rPr>
          <w:rFonts w:ascii="Calibri" w:hAnsi="Calibri"/>
          <w:b w:val="0"/>
          <w:i w:val="0"/>
          <w:color w:val="2C2C2C"/>
          <w:sz w:val="22"/>
        </w:rPr>
        <w:t>Nadia4All neemt de bescherming van jouw gegevens serieus en neemt passende technische en organisatorische maatregelen om misbruik, verlies, onbevoegde toegang, ongewenste openbaarmaking en ongeoorloofde wijziging te voorkomen. Wij werken uitsluitend met vertrouwde softwarepartners die aan de AVG-vereisten voldoen.</w:t>
      </w:r>
    </w:p>
    <w:p>
      <w:pPr>
        <w:spacing w:before="40" w:after="40"/>
        <w:pBdr>
          <w:bottom w:val="single" w:sz="4" w:space="1" w:color="D8C8E8"/>
        </w:pBdr>
      </w:pPr>
    </w:p>
    <w:p>
      <w:pPr>
        <w:spacing w:before="320" w:after="80"/>
      </w:pPr>
      <w:r>
        <w:rPr>
          <w:rFonts w:ascii="Calibri" w:hAnsi="Calibri"/>
          <w:b/>
          <w:color w:val="8B6EAF"/>
          <w:sz w:val="26"/>
        </w:rPr>
        <w:t>9. Contactgegevens</w:t>
      </w:r>
    </w:p>
    <w:p>
      <w:pPr>
        <w:spacing w:after="80" w:before="0"/>
      </w:pPr>
      <w:r>
        <w:rPr>
          <w:rFonts w:ascii="Calibri" w:hAnsi="Calibri"/>
          <w:b w:val="0"/>
          <w:i w:val="0"/>
          <w:color w:val="2C2C2C"/>
          <w:sz w:val="22"/>
        </w:rPr>
        <w:t>Nadia4All</w:t>
      </w:r>
    </w:p>
    <w:p>
      <w:pPr>
        <w:spacing w:after="80" w:before="0"/>
      </w:pPr>
      <w:r>
        <w:rPr>
          <w:rFonts w:ascii="Calibri" w:hAnsi="Calibri"/>
          <w:b w:val="0"/>
          <w:i w:val="0"/>
          <w:color w:val="2C2C2C"/>
          <w:sz w:val="22"/>
        </w:rPr>
        <w:t>Lorentzstraat 66</w:t>
        <w:br/>
        <w:t>4834 XC Breda</w:t>
      </w:r>
    </w:p>
    <w:p>
      <w:pPr>
        <w:spacing w:after="80" w:before="0"/>
      </w:pPr>
      <w:r>
        <w:rPr>
          <w:rFonts w:ascii="Calibri" w:hAnsi="Calibri"/>
          <w:b w:val="0"/>
          <w:i w:val="0"/>
          <w:color w:val="2C2C2C"/>
          <w:sz w:val="22"/>
        </w:rPr>
        <w:t>E-mail: info@nadia4all.com</w:t>
      </w:r>
    </w:p>
    <w:p>
      <w:pPr>
        <w:spacing w:before="40" w:after="40"/>
        <w:pBdr>
          <w:bottom w:val="single" w:sz="4" w:space="1" w:color="D8C8E8"/>
        </w:pBdr>
      </w:pPr>
    </w:p>
    <w:p>
      <w:pPr>
        <w:spacing w:before="200"/>
      </w:pPr>
      <w:r>
        <w:rPr>
          <w:rFonts w:ascii="Calibri" w:hAnsi="Calibri"/>
          <w:i/>
          <w:color w:val="6B6B6B"/>
          <w:sz w:val="18"/>
        </w:rPr>
        <w:t>Laatst bijgewerkt: april 2025</w:t>
      </w:r>
    </w:p>
    <w:sectPr w:rsidR="00FC693F" w:rsidRPr="0006063C" w:rsidSect="00034616">
      <w:pgSz w:w="12240" w:h="15840"/>
      <w:pgMar w:top="1417" w:right="1587" w:bottom="1417" w:left="15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