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485224" w14:textId="77777777" w:rsidR="00E41490" w:rsidRPr="004047D3" w:rsidRDefault="00E41490" w:rsidP="00E41490">
      <w:pPr>
        <w:spacing w:after="40"/>
        <w:jc w:val="center"/>
        <w:rPr>
          <w:rFonts w:ascii="Calibri" w:hAnsi="Calibri" w:cs="Calibri"/>
          <w:i w:val="0"/>
          <w:iCs w:val="0"/>
          <w:color w:val="F08300"/>
        </w:rPr>
      </w:pPr>
      <w:r w:rsidRPr="004047D3">
        <w:rPr>
          <w:rFonts w:ascii="Calibri" w:eastAsia="Georgia" w:hAnsi="Calibri" w:cs="Calibri"/>
          <w:b/>
          <w:bCs/>
          <w:i w:val="0"/>
          <w:iCs w:val="0"/>
          <w:color w:val="F08300"/>
          <w:sz w:val="40"/>
          <w:szCs w:val="40"/>
        </w:rPr>
        <w:t>Votre écosystème relationnel</w:t>
      </w:r>
    </w:p>
    <w:p w14:paraId="15841C40" w14:textId="726175B4" w:rsidR="00E41490" w:rsidRPr="007A60EA" w:rsidRDefault="007A60EA" w:rsidP="00E41490">
      <w:pPr>
        <w:spacing w:after="40"/>
        <w:jc w:val="center"/>
        <w:rPr>
          <w:rFonts w:ascii="Calibri" w:hAnsi="Calibri" w:cs="Calibri"/>
          <w:b/>
          <w:bCs/>
          <w:i w:val="0"/>
          <w:iCs w:val="0"/>
          <w:color w:val="52646D"/>
          <w:sz w:val="24"/>
          <w:szCs w:val="24"/>
        </w:rPr>
      </w:pPr>
      <w:r w:rsidRPr="007A60EA">
        <w:rPr>
          <w:rFonts w:ascii="Calibri" w:hAnsi="Calibri" w:cs="Calibri"/>
          <w:b/>
          <w:bCs/>
          <w:i w:val="0"/>
          <w:iCs w:val="0"/>
          <w:color w:val="52646D"/>
          <w:sz w:val="24"/>
          <w:szCs w:val="24"/>
        </w:rPr>
        <w:t>Issu de la conférence « En mode survie » - Santé mentale et lien social au travail</w:t>
      </w:r>
    </w:p>
    <w:p w14:paraId="401DBDA1" w14:textId="77777777" w:rsidR="007A60EA" w:rsidRPr="004047D3" w:rsidRDefault="007A60EA" w:rsidP="00E41490">
      <w:pPr>
        <w:spacing w:after="40"/>
        <w:jc w:val="center"/>
        <w:rPr>
          <w:rFonts w:ascii="Calibri" w:hAnsi="Calibri" w:cs="Calibri"/>
          <w:i w:val="0"/>
          <w:iCs w:val="0"/>
        </w:rPr>
      </w:pPr>
    </w:p>
    <w:p w14:paraId="083C8FC1" w14:textId="2423955D" w:rsidR="00E41490" w:rsidRPr="004047D3" w:rsidRDefault="00E41490" w:rsidP="00E41490">
      <w:pPr>
        <w:pBdr>
          <w:bottom w:val="single" w:sz="8" w:space="6" w:color="B07D3C"/>
        </w:pBdr>
        <w:spacing w:after="140"/>
        <w:jc w:val="center"/>
        <w:rPr>
          <w:rFonts w:ascii="Calibri" w:hAnsi="Calibri" w:cs="Calibri"/>
          <w:i w:val="0"/>
          <w:iCs w:val="0"/>
        </w:rPr>
      </w:pPr>
      <w:r w:rsidRPr="004047D3">
        <w:rPr>
          <w:rFonts w:ascii="Calibri" w:eastAsia="Georgia" w:hAnsi="Calibri" w:cs="Calibri"/>
          <w:i w:val="0"/>
          <w:iCs w:val="0"/>
          <w:color w:val="3A3A3A"/>
          <w:sz w:val="24"/>
          <w:szCs w:val="24"/>
        </w:rPr>
        <w:t xml:space="preserve">Une </w:t>
      </w:r>
      <w:r w:rsidR="003C06CC">
        <w:rPr>
          <w:rFonts w:ascii="Calibri" w:eastAsia="Georgia" w:hAnsi="Calibri" w:cs="Calibri"/>
          <w:i w:val="0"/>
          <w:iCs w:val="0"/>
          <w:color w:val="3A3A3A"/>
          <w:sz w:val="24"/>
          <w:szCs w:val="24"/>
        </w:rPr>
        <w:t xml:space="preserve">première </w:t>
      </w:r>
      <w:r w:rsidRPr="004047D3">
        <w:rPr>
          <w:rFonts w:ascii="Calibri" w:eastAsia="Georgia" w:hAnsi="Calibri" w:cs="Calibri"/>
          <w:i w:val="0"/>
          <w:iCs w:val="0"/>
          <w:color w:val="3A3A3A"/>
          <w:sz w:val="24"/>
          <w:szCs w:val="24"/>
        </w:rPr>
        <w:t xml:space="preserve">grille de lecture </w:t>
      </w:r>
      <w:r w:rsidR="003C06CC">
        <w:rPr>
          <w:rFonts w:ascii="Calibri" w:eastAsia="Georgia" w:hAnsi="Calibri" w:cs="Calibri"/>
          <w:i w:val="0"/>
          <w:iCs w:val="0"/>
          <w:color w:val="3A3A3A"/>
          <w:sz w:val="24"/>
          <w:szCs w:val="24"/>
        </w:rPr>
        <w:t>à 4 niveaux</w:t>
      </w:r>
    </w:p>
    <w:p w14:paraId="7C2BDC0B" w14:textId="0C2713E8" w:rsidR="007550BA" w:rsidRPr="004047D3" w:rsidRDefault="00000000" w:rsidP="004047D3">
      <w:pPr>
        <w:spacing w:after="60"/>
        <w:jc w:val="both"/>
        <w:rPr>
          <w:rFonts w:ascii="Calibri" w:hAnsi="Calibri" w:cs="Calibri"/>
          <w:i w:val="0"/>
          <w:iCs w:val="0"/>
        </w:rPr>
      </w:pPr>
      <w:r w:rsidRPr="004047D3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>Derrière chaque personne qui s'effondre dans une organisation, il y a presque toujours un moment où elle a cessé de se sentir en lien. Pas d'un coup. Progressivement. Invisiblement. Alors elle bascule en mode survie : elle ne travaille plus</w:t>
      </w:r>
      <w:r w:rsidR="004047D3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 xml:space="preserve">, </w:t>
      </w:r>
      <w:r w:rsidRPr="004047D3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>elle tient.</w:t>
      </w:r>
    </w:p>
    <w:p w14:paraId="1ED1EEEB" w14:textId="492B3ACB" w:rsidR="004047D3" w:rsidRDefault="00000000" w:rsidP="004047D3">
      <w:pPr>
        <w:spacing w:after="180"/>
        <w:jc w:val="both"/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</w:pPr>
      <w:r w:rsidRPr="004047D3">
        <w:rPr>
          <w:rFonts w:ascii="Calibri" w:eastAsia="Calibri" w:hAnsi="Calibri" w:cs="Calibri"/>
          <w:b/>
          <w:bCs/>
          <w:i w:val="0"/>
          <w:iCs w:val="0"/>
          <w:color w:val="F08300"/>
          <w:sz w:val="21"/>
          <w:szCs w:val="21"/>
        </w:rPr>
        <w:t xml:space="preserve">Ce n'est pas une question de </w:t>
      </w:r>
      <w:r w:rsidR="009E65F5" w:rsidRPr="004047D3">
        <w:rPr>
          <w:rFonts w:ascii="Calibri" w:eastAsia="Calibri" w:hAnsi="Calibri" w:cs="Calibri"/>
          <w:b/>
          <w:bCs/>
          <w:i w:val="0"/>
          <w:iCs w:val="0"/>
          <w:color w:val="F08300"/>
          <w:sz w:val="21"/>
          <w:szCs w:val="21"/>
        </w:rPr>
        <w:t>personne</w:t>
      </w:r>
      <w:r w:rsidRPr="004047D3">
        <w:rPr>
          <w:rFonts w:ascii="Calibri" w:eastAsia="Calibri" w:hAnsi="Calibri" w:cs="Calibri"/>
          <w:b/>
          <w:bCs/>
          <w:i w:val="0"/>
          <w:iCs w:val="0"/>
          <w:color w:val="F08300"/>
          <w:sz w:val="21"/>
          <w:szCs w:val="21"/>
        </w:rPr>
        <w:t>. C'est une question de système.</w:t>
      </w:r>
    </w:p>
    <w:p w14:paraId="435A81D5" w14:textId="484966D0" w:rsidR="004047D3" w:rsidRPr="004047D3" w:rsidRDefault="004047D3" w:rsidP="004047D3">
      <w:pPr>
        <w:spacing w:after="180"/>
        <w:jc w:val="both"/>
        <w:rPr>
          <w:i w:val="0"/>
          <w:iCs w:val="0"/>
        </w:rPr>
      </w:pPr>
      <w:r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>C</w:t>
      </w:r>
      <w:r w:rsidRPr="004047D3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>ette grille vous aide à repérer, à quatre niveaux, un environnement qui protège et soutient</w:t>
      </w:r>
      <w:r w:rsidR="00531AC9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 xml:space="preserve">, </w:t>
      </w:r>
      <w:r w:rsidRPr="004047D3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>d’un système qui use</w:t>
      </w:r>
      <w:r w:rsidR="00531AC9">
        <w:rPr>
          <w:rFonts w:ascii="Calibri" w:eastAsia="Calibri" w:hAnsi="Calibri" w:cs="Calibri"/>
          <w:i w:val="0"/>
          <w:iCs w:val="0"/>
          <w:color w:val="3A3A3A"/>
          <w:sz w:val="21"/>
          <w:szCs w:val="21"/>
        </w:rPr>
        <w:t>.</w:t>
      </w:r>
    </w:p>
    <w:tbl>
      <w:tblPr>
        <w:tblW w:w="10917" w:type="dxa"/>
        <w:tblInd w:w="-431" w:type="dxa"/>
        <w:tblBorders>
          <w:top w:val="single" w:sz="4" w:space="0" w:color="52646D"/>
          <w:left w:val="single" w:sz="4" w:space="0" w:color="52646D"/>
          <w:bottom w:val="single" w:sz="4" w:space="0" w:color="52646D"/>
          <w:right w:val="single" w:sz="4" w:space="0" w:color="52646D"/>
          <w:insideH w:val="single" w:sz="4" w:space="0" w:color="52646D"/>
          <w:insideV w:val="single" w:sz="4" w:space="0" w:color="52646D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2366"/>
        <w:gridCol w:w="2366"/>
        <w:gridCol w:w="2386"/>
        <w:gridCol w:w="2127"/>
      </w:tblGrid>
      <w:tr w:rsidR="00B9372F" w:rsidRPr="00CE0FAE" w14:paraId="6C231649" w14:textId="76CEDF65" w:rsidTr="00B9372F">
        <w:trPr>
          <w:tblHeader/>
        </w:trPr>
        <w:tc>
          <w:tcPr>
            <w:tcW w:w="1672" w:type="dxa"/>
            <w:shd w:val="clear" w:color="auto" w:fill="F083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C82FE" w14:textId="77777777" w:rsidR="00B9372F" w:rsidRPr="00CE0FAE" w:rsidRDefault="00B9372F" w:rsidP="003E3691">
            <w:pPr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</w:pPr>
          </w:p>
          <w:p w14:paraId="21B82B53" w14:textId="2EDF1DBA" w:rsidR="00B9372F" w:rsidRPr="00927B3F" w:rsidRDefault="00B9372F" w:rsidP="004047D3">
            <w:pPr>
              <w:jc w:val="center"/>
              <w:rPr>
                <w:rFonts w:ascii="Calibri" w:hAnsi="Calibri" w:cs="Calibri"/>
                <w:i w:val="0"/>
                <w:iCs w:val="0"/>
                <w:color w:val="FFFFFF" w:themeColor="background1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</w:rPr>
              <w:t>4 Strates</w:t>
            </w:r>
          </w:p>
        </w:tc>
        <w:tc>
          <w:tcPr>
            <w:tcW w:w="2366" w:type="dxa"/>
            <w:shd w:val="clear" w:color="auto" w:fill="F083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F1838" w14:textId="245F9C84" w:rsidR="00B9372F" w:rsidRPr="00CE0FAE" w:rsidRDefault="00B9372F" w:rsidP="009E65F5">
            <w:pPr>
              <w:spacing w:after="20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  <w:t>SECURITE</w:t>
            </w:r>
          </w:p>
          <w:p w14:paraId="3162E013" w14:textId="4559DA78" w:rsidR="00B9372F" w:rsidRPr="00CE0FAE" w:rsidRDefault="00B9372F" w:rsidP="009E65F5">
            <w:pPr>
              <w:spacing w:after="20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  <w:t>Sécurité du lien</w:t>
            </w:r>
          </w:p>
          <w:p w14:paraId="5315C55D" w14:textId="4D2F9E9C" w:rsidR="00B9372F" w:rsidRPr="00CE0FAE" w:rsidRDefault="00B9372F" w:rsidP="009E65F5">
            <w:pPr>
              <w:spacing w:after="20"/>
              <w:jc w:val="center"/>
              <w:rPr>
                <w:rFonts w:ascii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Georgia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  <w:t>« Puis-je parler sans me mettre en danger ? »</w:t>
            </w:r>
          </w:p>
          <w:p w14:paraId="393B1956" w14:textId="77777777" w:rsidR="00B9372F" w:rsidRPr="00CE0FAE" w:rsidRDefault="00B9372F" w:rsidP="009E65F5">
            <w:pPr>
              <w:jc w:val="center"/>
              <w:rPr>
                <w:rFonts w:ascii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  <w:t>Enfermement ↔ Ouverture</w:t>
            </w:r>
          </w:p>
        </w:tc>
        <w:tc>
          <w:tcPr>
            <w:tcW w:w="2366" w:type="dxa"/>
            <w:shd w:val="clear" w:color="auto" w:fill="F08300"/>
          </w:tcPr>
          <w:p w14:paraId="28DA4ACD" w14:textId="7B1F1B51" w:rsidR="00B9372F" w:rsidRPr="00CE0FAE" w:rsidRDefault="00B9372F" w:rsidP="003C06CC">
            <w:pPr>
              <w:spacing w:after="20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  <w:t>SOUTIEN</w:t>
            </w:r>
          </w:p>
          <w:p w14:paraId="59747283" w14:textId="61427DA3" w:rsidR="00B9372F" w:rsidRPr="00CE0FAE" w:rsidRDefault="00B9372F" w:rsidP="003C06CC">
            <w:pPr>
              <w:spacing w:after="20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  <w:t>Portée du lien</w:t>
            </w:r>
          </w:p>
          <w:p w14:paraId="7A50B158" w14:textId="6A05E931" w:rsidR="00B9372F" w:rsidRPr="00CE0FAE" w:rsidRDefault="00B9372F" w:rsidP="003C06CC">
            <w:pPr>
              <w:spacing w:after="20"/>
              <w:jc w:val="center"/>
              <w:rPr>
                <w:rFonts w:ascii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  <w:t xml:space="preserve">« Puis-je compter </w:t>
            </w:r>
            <w:r>
              <w:rPr>
                <w:rFonts w:ascii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  <w:t>s</w:t>
            </w:r>
            <w:r w:rsidRPr="00CE0FAE">
              <w:rPr>
                <w:rFonts w:ascii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  <w:t>ur les autres ? »</w:t>
            </w:r>
          </w:p>
          <w:p w14:paraId="40E9683F" w14:textId="4CF2A817" w:rsidR="00B9372F" w:rsidRPr="00CE0FAE" w:rsidRDefault="00B9372F" w:rsidP="003C06CC">
            <w:pPr>
              <w:spacing w:after="20"/>
              <w:ind w:left="119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  <w:sz w:val="18"/>
                <w:szCs w:val="18"/>
              </w:rPr>
            </w:pPr>
            <w:r w:rsidRPr="00CE0FAE">
              <w:rPr>
                <w:rFonts w:ascii="Calibri" w:eastAsia="Calibri" w:hAnsi="Calibri" w:cs="Calibri"/>
                <w:i w:val="0"/>
                <w:iCs w:val="0"/>
                <w:color w:val="FFFFFF" w:themeColor="background1"/>
                <w:sz w:val="18"/>
                <w:szCs w:val="18"/>
              </w:rPr>
              <w:t>Cloisonnement ↔ Circulation</w:t>
            </w:r>
          </w:p>
        </w:tc>
        <w:tc>
          <w:tcPr>
            <w:tcW w:w="2386" w:type="dxa"/>
            <w:shd w:val="clear" w:color="auto" w:fill="F083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EE675" w14:textId="77777777" w:rsidR="00B9372F" w:rsidRPr="00927B3F" w:rsidRDefault="00B9372F" w:rsidP="009E65F5">
            <w:pPr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</w:rPr>
            </w:pPr>
          </w:p>
          <w:p w14:paraId="17CE9B28" w14:textId="23048663" w:rsidR="00B9372F" w:rsidRPr="00927B3F" w:rsidRDefault="00B9372F" w:rsidP="009E65F5">
            <w:pPr>
              <w:jc w:val="center"/>
              <w:rPr>
                <w:rFonts w:ascii="Calibri" w:hAnsi="Calibri" w:cs="Calibri"/>
                <w:i w:val="0"/>
                <w:iCs w:val="0"/>
                <w:color w:val="FFFFFF" w:themeColor="background1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</w:rPr>
              <w:t>Le mode survie à ce niveau</w:t>
            </w:r>
          </w:p>
        </w:tc>
        <w:tc>
          <w:tcPr>
            <w:tcW w:w="2127" w:type="dxa"/>
            <w:shd w:val="clear" w:color="auto" w:fill="F08300"/>
          </w:tcPr>
          <w:p w14:paraId="2317E8E5" w14:textId="77777777" w:rsidR="00B9372F" w:rsidRPr="00927B3F" w:rsidRDefault="00B9372F" w:rsidP="00B9372F">
            <w:pPr>
              <w:ind w:left="138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</w:rPr>
            </w:pPr>
          </w:p>
          <w:p w14:paraId="795D109C" w14:textId="75F201A0" w:rsidR="00B9372F" w:rsidRPr="00927B3F" w:rsidRDefault="00B9372F" w:rsidP="00B9372F">
            <w:pPr>
              <w:ind w:left="138"/>
              <w:jc w:val="center"/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FFFFF" w:themeColor="background1"/>
              </w:rPr>
              <w:t>Le lien qui tient à ce niveau</w:t>
            </w:r>
          </w:p>
        </w:tc>
      </w:tr>
      <w:tr w:rsidR="00B9372F" w:rsidRPr="004047D3" w14:paraId="551EED4E" w14:textId="025338AC" w:rsidTr="00B9372F">
        <w:tc>
          <w:tcPr>
            <w:tcW w:w="1672" w:type="dxa"/>
            <w:shd w:val="clear" w:color="auto" w:fill="F4F1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AD6AC" w14:textId="77777777" w:rsidR="00B9372F" w:rsidRPr="00927B3F" w:rsidRDefault="00B9372F" w:rsidP="003E3691">
            <w:pPr>
              <w:spacing w:after="20"/>
              <w:rPr>
                <w:rFonts w:ascii="Calibri" w:hAnsi="Calibri" w:cs="Calibri"/>
                <w:i w:val="0"/>
                <w:iCs w:val="0"/>
                <w:color w:val="F0830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08300"/>
                <w:sz w:val="18"/>
                <w:szCs w:val="18"/>
              </w:rPr>
              <w:t>1. L'INDIVIDU</w:t>
            </w:r>
          </w:p>
          <w:p w14:paraId="35AA4A65" w14:textId="031BC588" w:rsidR="00B9372F" w:rsidRPr="00927B3F" w:rsidRDefault="00B9372F" w:rsidP="003E3691">
            <w:pPr>
              <w:rPr>
                <w:rFonts w:ascii="Calibri" w:hAnsi="Calibri" w:cs="Calibri"/>
                <w:i w:val="0"/>
                <w:iCs w:val="0"/>
                <w:color w:val="52646D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i w:val="0"/>
                <w:iCs w:val="0"/>
                <w:color w:val="52646D"/>
                <w:sz w:val="18"/>
                <w:szCs w:val="18"/>
              </w:rPr>
              <w:t>Cendrillon</w:t>
            </w:r>
          </w:p>
        </w:tc>
        <w:tc>
          <w:tcPr>
            <w:tcW w:w="23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4CA39" w14:textId="5675A660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Chacun a-t-il le droit et les moyens de dire stop avant le mur ?</w:t>
            </w:r>
          </w:p>
        </w:tc>
        <w:tc>
          <w:tcPr>
            <w:tcW w:w="2366" w:type="dxa"/>
          </w:tcPr>
          <w:p w14:paraId="217C246D" w14:textId="3A757894" w:rsidR="00B9372F" w:rsidRPr="00927B3F" w:rsidRDefault="00B9372F" w:rsidP="00531AC9">
            <w:pPr>
              <w:ind w:left="119"/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Quels sont les espaces de parole sécures ?</w:t>
            </w:r>
          </w:p>
        </w:tc>
        <w:tc>
          <w:tcPr>
            <w:tcW w:w="2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F9549" w14:textId="36630C0E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Sur-adaptation, silence, isolement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 : gérer, encaisser, se taire. « Aucune ressource individuelle ne résiste indéfiniment à un système qui use. »</w:t>
            </w:r>
          </w:p>
        </w:tc>
        <w:tc>
          <w:tcPr>
            <w:tcW w:w="2127" w:type="dxa"/>
          </w:tcPr>
          <w:p w14:paraId="4DB1C5AC" w14:textId="13A66BED" w:rsidR="00B9372F" w:rsidRPr="00927B3F" w:rsidRDefault="00B9372F" w:rsidP="00B9372F">
            <w:pPr>
              <w:ind w:left="138"/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Droit de dire stop,</w:t>
            </w: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 xml:space="preserve"> demander de l’aide, 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espace de parole</w:t>
            </w:r>
          </w:p>
        </w:tc>
      </w:tr>
      <w:tr w:rsidR="00B9372F" w:rsidRPr="004047D3" w14:paraId="31FA483F" w14:textId="37F93140" w:rsidTr="00B9372F">
        <w:tc>
          <w:tcPr>
            <w:tcW w:w="1672" w:type="dxa"/>
            <w:shd w:val="clear" w:color="auto" w:fill="F4F1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2B6BC" w14:textId="77777777" w:rsidR="00B9372F" w:rsidRPr="00927B3F" w:rsidRDefault="00B9372F" w:rsidP="003E3691">
            <w:pPr>
              <w:spacing w:after="20"/>
              <w:rPr>
                <w:rFonts w:ascii="Calibri" w:hAnsi="Calibri" w:cs="Calibri"/>
                <w:i w:val="0"/>
                <w:iCs w:val="0"/>
                <w:color w:val="F0830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08300"/>
                <w:sz w:val="18"/>
                <w:szCs w:val="18"/>
              </w:rPr>
              <w:t>2. LES COLLÈGUES</w:t>
            </w:r>
          </w:p>
          <w:p w14:paraId="17A90545" w14:textId="33A7A03E" w:rsidR="00B9372F" w:rsidRPr="00927B3F" w:rsidRDefault="00B9372F" w:rsidP="003E3691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i w:val="0"/>
                <w:iCs w:val="0"/>
                <w:color w:val="52646D"/>
                <w:sz w:val="18"/>
                <w:szCs w:val="18"/>
              </w:rPr>
              <w:t>Les demi-sœurs</w:t>
            </w:r>
          </w:p>
        </w:tc>
        <w:tc>
          <w:tcPr>
            <w:tcW w:w="23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3BD9AB" w14:textId="18AD3AB3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Quand quelqu'un flanche, s'approche-t-on ou détourne-t-on le regard ?</w:t>
            </w:r>
          </w:p>
        </w:tc>
        <w:tc>
          <w:tcPr>
            <w:tcW w:w="2366" w:type="dxa"/>
          </w:tcPr>
          <w:p w14:paraId="1487AAD7" w14:textId="6FEBE2A7" w:rsidR="00B9372F" w:rsidRPr="00927B3F" w:rsidRDefault="00B9372F" w:rsidP="00531AC9">
            <w:pPr>
              <w:ind w:left="119"/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Comment chacun se sent-il concerné au-delà de son périmètre ?</w:t>
            </w:r>
          </w:p>
        </w:tc>
        <w:tc>
          <w:tcPr>
            <w:tcW w:w="2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E34BF" w14:textId="5C46DD6F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Repli, compétition, chacun pour soi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 xml:space="preserve">, </w:t>
            </w: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information retenue,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 xml:space="preserve"> « la réussite de l'autre vécue comme une menace. »</w:t>
            </w:r>
          </w:p>
        </w:tc>
        <w:tc>
          <w:tcPr>
            <w:tcW w:w="2127" w:type="dxa"/>
          </w:tcPr>
          <w:p w14:paraId="6DE345F4" w14:textId="0EC95E11" w:rsidR="00B9372F" w:rsidRPr="00927B3F" w:rsidRDefault="00B9372F" w:rsidP="00B9372F">
            <w:pPr>
              <w:ind w:left="138"/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 xml:space="preserve">Entraide, vigilance mutuelle, 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coopération, circulation</w:t>
            </w:r>
          </w:p>
        </w:tc>
      </w:tr>
      <w:tr w:rsidR="00B9372F" w:rsidRPr="004047D3" w14:paraId="017517AA" w14:textId="42FF9C73" w:rsidTr="00B9372F">
        <w:tc>
          <w:tcPr>
            <w:tcW w:w="1672" w:type="dxa"/>
            <w:shd w:val="clear" w:color="auto" w:fill="F4F1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26FF4" w14:textId="77777777" w:rsidR="00B9372F" w:rsidRPr="00927B3F" w:rsidRDefault="00B9372F" w:rsidP="003E3691">
            <w:pPr>
              <w:spacing w:after="20"/>
              <w:rPr>
                <w:rFonts w:ascii="Calibri" w:hAnsi="Calibri" w:cs="Calibri"/>
                <w:i w:val="0"/>
                <w:iCs w:val="0"/>
                <w:color w:val="F0830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08300"/>
                <w:sz w:val="18"/>
                <w:szCs w:val="18"/>
              </w:rPr>
              <w:t>3. LE MANAGEMENT</w:t>
            </w:r>
          </w:p>
          <w:p w14:paraId="7D7DC006" w14:textId="64031C73" w:rsidR="00B9372F" w:rsidRPr="00927B3F" w:rsidRDefault="00B9372F" w:rsidP="003E3691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i w:val="0"/>
                <w:iCs w:val="0"/>
                <w:color w:val="52646D"/>
                <w:sz w:val="18"/>
                <w:szCs w:val="18"/>
              </w:rPr>
              <w:t>La belle-mère et le pivot de l’organisation</w:t>
            </w:r>
          </w:p>
        </w:tc>
        <w:tc>
          <w:tcPr>
            <w:tcW w:w="23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CA4F5" w14:textId="77777777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Les désaccords peuvent-ils s'exprimer sans conséquence ?</w:t>
            </w:r>
          </w:p>
        </w:tc>
        <w:tc>
          <w:tcPr>
            <w:tcW w:w="2366" w:type="dxa"/>
          </w:tcPr>
          <w:p w14:paraId="433A54D8" w14:textId="1646B726" w:rsidR="00B9372F" w:rsidRPr="00927B3F" w:rsidRDefault="00B9372F" w:rsidP="00531AC9">
            <w:pPr>
              <w:ind w:left="119"/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Comment se gèrent les divergences entre services ?</w:t>
            </w:r>
          </w:p>
        </w:tc>
        <w:tc>
          <w:tcPr>
            <w:tcW w:w="2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DADE5" w14:textId="055A0391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Urgence, contrôle, ne pointer que les manques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 : l'exigence sans la reconnaissance</w:t>
            </w:r>
            <w:r w:rsidR="00927B3F"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.</w:t>
            </w:r>
          </w:p>
        </w:tc>
        <w:tc>
          <w:tcPr>
            <w:tcW w:w="2127" w:type="dxa"/>
          </w:tcPr>
          <w:p w14:paraId="6321B686" w14:textId="21D8BE3A" w:rsidR="00B9372F" w:rsidRPr="00927B3F" w:rsidRDefault="00B9372F" w:rsidP="00B9372F">
            <w:pPr>
              <w:ind w:left="138"/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D</w:t>
            </w: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ialogue</w:t>
            </w: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 xml:space="preserve">, reconnaissance, 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feed-back</w:t>
            </w:r>
            <w:r w:rsidR="00927B3F"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. Rigueur, ambition.</w:t>
            </w:r>
          </w:p>
        </w:tc>
      </w:tr>
      <w:tr w:rsidR="00B9372F" w:rsidRPr="004047D3" w14:paraId="4450E191" w14:textId="1F642F36" w:rsidTr="00B9372F">
        <w:tc>
          <w:tcPr>
            <w:tcW w:w="1672" w:type="dxa"/>
            <w:shd w:val="clear" w:color="auto" w:fill="F4F1E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996B3" w14:textId="77777777" w:rsidR="00B9372F" w:rsidRPr="00927B3F" w:rsidRDefault="00B9372F" w:rsidP="003E3691">
            <w:pPr>
              <w:spacing w:after="20"/>
              <w:rPr>
                <w:rFonts w:ascii="Calibri" w:hAnsi="Calibri" w:cs="Calibri"/>
                <w:i w:val="0"/>
                <w:iCs w:val="0"/>
                <w:color w:val="F0830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b/>
                <w:bCs/>
                <w:i w:val="0"/>
                <w:iCs w:val="0"/>
                <w:color w:val="F08300"/>
                <w:sz w:val="18"/>
                <w:szCs w:val="18"/>
              </w:rPr>
              <w:t>4. L'ORGANISATION</w:t>
            </w:r>
          </w:p>
          <w:p w14:paraId="64B6FE82" w14:textId="143761DD" w:rsidR="00B9372F" w:rsidRPr="00927B3F" w:rsidRDefault="00B9372F" w:rsidP="003E3691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Georgia" w:hAnsi="Calibri" w:cs="Calibri"/>
                <w:i w:val="0"/>
                <w:iCs w:val="0"/>
                <w:color w:val="52646D"/>
                <w:sz w:val="18"/>
                <w:szCs w:val="18"/>
              </w:rPr>
              <w:t>La maison</w:t>
            </w:r>
          </w:p>
        </w:tc>
        <w:tc>
          <w:tcPr>
            <w:tcW w:w="23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EB062" w14:textId="77777777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Quand quelque chose échoue, le système cherche-t-il d'abord un coupable, ou ce qui a rendu l'échec possible ?</w:t>
            </w:r>
          </w:p>
        </w:tc>
        <w:tc>
          <w:tcPr>
            <w:tcW w:w="2366" w:type="dxa"/>
          </w:tcPr>
          <w:p w14:paraId="34052720" w14:textId="19094DA0" w:rsidR="00B9372F" w:rsidRPr="00927B3F" w:rsidRDefault="00B9372F" w:rsidP="00531AC9">
            <w:pPr>
              <w:ind w:left="119"/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L’organisation est-elle soutenante et modélisante ?</w:t>
            </w:r>
          </w:p>
        </w:tc>
        <w:tc>
          <w:tcPr>
            <w:tcW w:w="238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8F80D" w14:textId="5D3F71A1" w:rsidR="00B9372F" w:rsidRPr="00927B3F" w:rsidRDefault="00B9372F">
            <w:pPr>
              <w:rPr>
                <w:rFonts w:ascii="Calibri" w:hAnsi="Calibri" w:cs="Calibri"/>
                <w:i w:val="0"/>
                <w:iCs w:val="0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>Silence, cloisonnement, recherche des coupables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 xml:space="preserve"> « Une organisation qui tolère, c'est une organisation qui autorise. »</w:t>
            </w:r>
          </w:p>
        </w:tc>
        <w:tc>
          <w:tcPr>
            <w:tcW w:w="2127" w:type="dxa"/>
          </w:tcPr>
          <w:p w14:paraId="6174001C" w14:textId="34F262EE" w:rsidR="00B9372F" w:rsidRPr="00927B3F" w:rsidRDefault="00B9372F" w:rsidP="00B9372F">
            <w:pPr>
              <w:ind w:left="138"/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</w:pPr>
            <w:r w:rsidRPr="00927B3F">
              <w:rPr>
                <w:rFonts w:ascii="Calibri" w:eastAsia="Calibri" w:hAnsi="Calibri" w:cs="Calibri"/>
                <w:b/>
                <w:bCs/>
                <w:i w:val="0"/>
                <w:iCs w:val="0"/>
                <w:color w:val="3A3A3A"/>
                <w:sz w:val="18"/>
                <w:szCs w:val="18"/>
              </w:rPr>
              <w:t xml:space="preserve">Régulation, coopération, </w:t>
            </w:r>
            <w:r w:rsidRPr="00927B3F">
              <w:rPr>
                <w:rFonts w:ascii="Calibri" w:eastAsia="Calibri" w:hAnsi="Calibri" w:cs="Calibri"/>
                <w:i w:val="0"/>
                <w:iCs w:val="0"/>
                <w:color w:val="3A3A3A"/>
                <w:sz w:val="18"/>
                <w:szCs w:val="18"/>
              </w:rPr>
              <w:t>apprentissage, exemplarité</w:t>
            </w:r>
          </w:p>
        </w:tc>
      </w:tr>
    </w:tbl>
    <w:p w14:paraId="07BD44AB" w14:textId="77777777" w:rsidR="00AC5B41" w:rsidRDefault="00000000" w:rsidP="00927B3F">
      <w:pPr>
        <w:spacing w:before="220" w:after="160"/>
        <w:jc w:val="center"/>
        <w:rPr>
          <w:rFonts w:ascii="Calibri" w:hAnsi="Calibri" w:cs="Calibri"/>
          <w:i w:val="0"/>
          <w:iCs w:val="0"/>
          <w:color w:val="52646D"/>
        </w:rPr>
      </w:pPr>
      <w:r w:rsidRPr="00927B3F">
        <w:rPr>
          <w:rFonts w:ascii="Calibri" w:eastAsia="Georgia" w:hAnsi="Calibri" w:cs="Calibri"/>
          <w:i w:val="0"/>
          <w:iCs w:val="0"/>
          <w:color w:val="52646D"/>
          <w:sz w:val="21"/>
          <w:szCs w:val="21"/>
        </w:rPr>
        <w:t xml:space="preserve">Et dans chaque organisation, il y a des oiseaux : ceux qui s'approchent, qui questionnent, qui réparent l'écoute. </w:t>
      </w:r>
      <w:r w:rsidR="00927B3F">
        <w:rPr>
          <w:rFonts w:ascii="Calibri" w:eastAsia="Georgia" w:hAnsi="Calibri" w:cs="Calibri"/>
          <w:i w:val="0"/>
          <w:iCs w:val="0"/>
          <w:color w:val="52646D"/>
          <w:sz w:val="21"/>
          <w:szCs w:val="21"/>
        </w:rPr>
        <w:br/>
      </w:r>
      <w:r w:rsidR="00927B3F" w:rsidRPr="00927B3F">
        <w:rPr>
          <w:rFonts w:ascii="Calibri" w:eastAsia="Times New Roman" w:hAnsi="Calibri" w:cs="Calibri"/>
          <w:i w:val="0"/>
          <w:iCs w:val="0"/>
          <w:color w:val="52646D"/>
        </w:rPr>
        <w:t xml:space="preserve">Ce n'est pas une prouesse. </w:t>
      </w:r>
      <w:r w:rsidR="00927B3F" w:rsidRPr="00927B3F">
        <w:rPr>
          <w:rFonts w:ascii="Calibri" w:hAnsi="Calibri" w:cs="Calibri"/>
          <w:i w:val="0"/>
          <w:iCs w:val="0"/>
          <w:color w:val="52646D"/>
        </w:rPr>
        <w:t>C'est un état d'esprit, basé sur l'attention aux autres, que permet un espace collectif sécure, dans lequel chacun peut parler, désapprouver, demander de l'aide, signaler une difficulté.</w:t>
      </w:r>
    </w:p>
    <w:p w14:paraId="7D15AA60" w14:textId="7206BE3E" w:rsidR="007550BA" w:rsidRPr="007D57AF" w:rsidRDefault="00927B3F" w:rsidP="00927B3F">
      <w:pPr>
        <w:spacing w:before="220" w:after="160"/>
        <w:jc w:val="center"/>
        <w:rPr>
          <w:rFonts w:ascii="Calibri" w:hAnsi="Calibri" w:cs="Calibri"/>
          <w:i w:val="0"/>
          <w:iCs w:val="0"/>
          <w:color w:val="52646D"/>
        </w:rPr>
      </w:pPr>
      <w:r w:rsidRPr="00927B3F">
        <w:rPr>
          <w:rFonts w:ascii="Calibri" w:eastAsia="Times New Roman" w:hAnsi="Calibri" w:cs="Calibri"/>
          <w:i w:val="0"/>
          <w:iCs w:val="0"/>
          <w:color w:val="52646D"/>
        </w:rPr>
        <w:br/>
      </w:r>
      <w:r w:rsidR="00000000" w:rsidRPr="004047D3">
        <w:rPr>
          <w:rFonts w:ascii="Calibri" w:eastAsia="Georgia" w:hAnsi="Calibri" w:cs="Calibri"/>
          <w:b/>
          <w:bCs/>
          <w:i w:val="0"/>
          <w:iCs w:val="0"/>
          <w:color w:val="F08300"/>
          <w:sz w:val="24"/>
          <w:szCs w:val="24"/>
        </w:rPr>
        <w:t>La performance ne naît jamais en mode survie. Elle naît dans la sécurité du lien et le soutien.</w:t>
      </w:r>
      <w:r w:rsidR="00000000" w:rsidRPr="004047D3">
        <w:rPr>
          <w:rFonts w:ascii="Calibri" w:hAnsi="Calibri" w:cs="Calibri"/>
          <w:i w:val="0"/>
          <w:iCs w:val="0"/>
          <w:color w:val="F08300"/>
          <w:sz w:val="24"/>
          <w:szCs w:val="24"/>
        </w:rPr>
        <w:br/>
      </w:r>
      <w:r w:rsidR="00000000" w:rsidRPr="004047D3">
        <w:rPr>
          <w:rFonts w:ascii="Calibri" w:eastAsia="Georgia" w:hAnsi="Calibri" w:cs="Calibri"/>
          <w:b/>
          <w:bCs/>
          <w:i w:val="0"/>
          <w:iCs w:val="0"/>
          <w:color w:val="52646D"/>
          <w:sz w:val="23"/>
          <w:szCs w:val="23"/>
        </w:rPr>
        <w:lastRenderedPageBreak/>
        <w:t xml:space="preserve">Et si la vraie performance commençait là, dans la qualité des liens </w:t>
      </w:r>
      <w:r w:rsidR="007D57AF" w:rsidRPr="004047D3">
        <w:rPr>
          <w:rFonts w:ascii="Calibri" w:eastAsia="Georgia" w:hAnsi="Calibri" w:cs="Calibri"/>
          <w:b/>
          <w:bCs/>
          <w:i w:val="0"/>
          <w:iCs w:val="0"/>
          <w:color w:val="52646D"/>
          <w:sz w:val="23"/>
          <w:szCs w:val="23"/>
        </w:rPr>
        <w:t>qu'on construit ensemble et qu'on entretient ?</w:t>
      </w:r>
      <w:r w:rsidR="004047D3">
        <w:rPr>
          <w:rFonts w:ascii="Calibri" w:eastAsia="Georgia" w:hAnsi="Calibri" w:cs="Calibri"/>
          <w:b/>
          <w:bCs/>
          <w:i w:val="0"/>
          <w:iCs w:val="0"/>
          <w:color w:val="52646D"/>
          <w:sz w:val="23"/>
          <w:szCs w:val="23"/>
        </w:rPr>
        <w:br/>
      </w:r>
    </w:p>
    <w:p w14:paraId="4336115F" w14:textId="77777777" w:rsidR="007550BA" w:rsidRPr="007D57AF" w:rsidRDefault="00000000">
      <w:pPr>
        <w:spacing w:after="60"/>
        <w:jc w:val="center"/>
        <w:rPr>
          <w:rFonts w:ascii="Calibri" w:eastAsia="Calibri" w:hAnsi="Calibri" w:cs="Calibri"/>
          <w:i w:val="0"/>
          <w:iCs w:val="0"/>
          <w:color w:val="B07D3C"/>
        </w:rPr>
      </w:pPr>
      <w:r w:rsidRPr="007D57AF">
        <w:rPr>
          <w:rFonts w:ascii="Calibri" w:eastAsia="Calibri" w:hAnsi="Calibri" w:cs="Calibri"/>
          <w:i w:val="0"/>
          <w:iCs w:val="0"/>
          <w:color w:val="B07D3C"/>
        </w:rPr>
        <w:t>Envie d'une lecture de votre propre écosystème ? Parlons-en.</w:t>
      </w:r>
    </w:p>
    <w:p w14:paraId="3E305A4D" w14:textId="0DB7828A" w:rsidR="007D57AF" w:rsidRPr="007D57AF" w:rsidRDefault="007D57AF">
      <w:pPr>
        <w:spacing w:after="60"/>
        <w:jc w:val="center"/>
        <w:rPr>
          <w:rFonts w:ascii="Calibri" w:hAnsi="Calibri" w:cs="Calibri"/>
          <w:i w:val="0"/>
          <w:iCs w:val="0"/>
        </w:rPr>
      </w:pPr>
      <w:r w:rsidRPr="007D57AF">
        <w:rPr>
          <w:rFonts w:ascii="Calibri" w:hAnsi="Calibri" w:cs="Calibri"/>
          <w:i w:val="0"/>
          <w:iCs w:val="0"/>
        </w:rPr>
        <w:t>« Cette grille prend toute sa valeur lorsqu'elle est regardée collectivement. Avec votre équipe dirigeante ou vos managers, elle peut devenir un point de départ pour lire votre propre écosystème relationnel. »</w:t>
      </w:r>
    </w:p>
    <w:p w14:paraId="09C4468A" w14:textId="77777777" w:rsidR="00674E39" w:rsidRDefault="00674E39">
      <w:pPr>
        <w:jc w:val="center"/>
        <w:rPr>
          <w:rFonts w:ascii="Calibri" w:eastAsia="Calibri" w:hAnsi="Calibri" w:cs="Calibri"/>
          <w:color w:val="3A3A3A"/>
        </w:rPr>
      </w:pPr>
    </w:p>
    <w:p w14:paraId="064F5904" w14:textId="77777777" w:rsidR="007D57AF" w:rsidRPr="007D57AF" w:rsidRDefault="007D57AF" w:rsidP="007D57AF">
      <w:pPr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iCs w:val="0"/>
          <w:sz w:val="24"/>
          <w:szCs w:val="24"/>
        </w:rPr>
      </w:pPr>
      <w:r w:rsidRPr="007D57AF">
        <w:rPr>
          <w:rFonts w:ascii="Calibri" w:eastAsia="Times New Roman" w:hAnsi="Calibri" w:cs="Calibri"/>
          <w:b/>
          <w:bCs/>
          <w:i w:val="0"/>
          <w:iCs w:val="0"/>
          <w:sz w:val="24"/>
          <w:szCs w:val="24"/>
        </w:rPr>
        <w:t>POUR ALLER PLUS LOIN</w:t>
      </w:r>
    </w:p>
    <w:p w14:paraId="2D16ADD8" w14:textId="77777777" w:rsidR="007D57AF" w:rsidRDefault="007D57AF" w:rsidP="007D57AF">
      <w:pPr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iCs w:val="0"/>
          <w:sz w:val="24"/>
          <w:szCs w:val="24"/>
        </w:rPr>
      </w:pPr>
      <w:r w:rsidRPr="007D57AF">
        <w:rPr>
          <w:rFonts w:ascii="Calibri" w:eastAsia="Times New Roman" w:hAnsi="Calibri" w:cs="Calibri"/>
          <w:b/>
          <w:bCs/>
          <w:i w:val="0"/>
          <w:iCs w:val="0"/>
          <w:sz w:val="24"/>
          <w:szCs w:val="24"/>
        </w:rPr>
        <w:t>INRS — Facteurs de risques psychosociaux</w:t>
      </w:r>
      <w:r w:rsidRPr="007D57AF">
        <w:rPr>
          <w:rFonts w:ascii="Calibri" w:eastAsia="Times New Roman" w:hAnsi="Calibri" w:cs="Calibri"/>
          <w:i w:val="0"/>
          <w:iCs w:val="0"/>
          <w:sz w:val="24"/>
          <w:szCs w:val="24"/>
        </w:rPr>
        <w:br/>
        <w:t>Soutien social, rapports sociaux, organisation du travail…</w:t>
      </w:r>
    </w:p>
    <w:p w14:paraId="765F8EF1" w14:textId="77777777" w:rsidR="007D57AF" w:rsidRPr="007D57AF" w:rsidRDefault="007D57AF" w:rsidP="007D57AF">
      <w:pPr>
        <w:rPr>
          <w:rFonts w:ascii="Calibri" w:hAnsi="Calibri" w:cs="Calibri"/>
        </w:rPr>
      </w:pPr>
      <w:r w:rsidRPr="007D57AF">
        <w:rPr>
          <w:rFonts w:ascii="Calibri" w:hAnsi="Calibri" w:cs="Calibri"/>
        </w:rPr>
        <w:fldChar w:fldCharType="begin"/>
      </w:r>
      <w:r w:rsidRPr="007D57AF">
        <w:rPr>
          <w:rFonts w:ascii="Calibri" w:hAnsi="Calibri" w:cs="Calibri"/>
        </w:rPr>
        <w:instrText>HYPERLINK "https://www.inrs.fr/risques/psychosociaux/facteurs-risques"</w:instrText>
      </w:r>
      <w:r w:rsidRPr="007D57AF">
        <w:rPr>
          <w:rFonts w:ascii="Calibri" w:hAnsi="Calibri" w:cs="Calibri"/>
        </w:rPr>
        <w:fldChar w:fldCharType="separate"/>
      </w:r>
      <w:r w:rsidRPr="007D57AF">
        <w:rPr>
          <w:rStyle w:val="Lienhypertexte"/>
          <w:rFonts w:ascii="Calibri" w:hAnsi="Calibri" w:cs="Calibri"/>
        </w:rPr>
        <w:t>https://www.inrs.fr/risques/psychosociaux/facteurs-risques</w:t>
      </w:r>
      <w:r w:rsidRPr="007D57AF">
        <w:rPr>
          <w:rFonts w:ascii="Calibri" w:hAnsi="Calibri" w:cs="Calibri"/>
        </w:rPr>
        <w:fldChar w:fldCharType="end"/>
      </w:r>
    </w:p>
    <w:p w14:paraId="5A180492" w14:textId="77777777" w:rsidR="007D57AF" w:rsidRPr="007D57AF" w:rsidRDefault="007D57AF" w:rsidP="007D57AF">
      <w:pPr>
        <w:spacing w:before="100" w:beforeAutospacing="1" w:after="100" w:afterAutospacing="1" w:line="240" w:lineRule="auto"/>
        <w:rPr>
          <w:rFonts w:ascii="Calibri" w:eastAsia="Times New Roman" w:hAnsi="Calibri" w:cs="Calibri"/>
          <w:i w:val="0"/>
          <w:iCs w:val="0"/>
          <w:sz w:val="24"/>
          <w:szCs w:val="24"/>
        </w:rPr>
      </w:pPr>
      <w:r w:rsidRPr="007D57AF">
        <w:rPr>
          <w:rFonts w:ascii="Calibri" w:eastAsia="Times New Roman" w:hAnsi="Calibri" w:cs="Calibri"/>
          <w:b/>
          <w:bCs/>
          <w:i w:val="0"/>
          <w:iCs w:val="0"/>
          <w:sz w:val="24"/>
          <w:szCs w:val="24"/>
        </w:rPr>
        <w:t>OMS — Santé mentale au travail</w:t>
      </w:r>
      <w:r w:rsidRPr="007D57AF">
        <w:rPr>
          <w:rFonts w:ascii="Calibri" w:eastAsia="Times New Roman" w:hAnsi="Calibri" w:cs="Calibri"/>
          <w:i w:val="0"/>
          <w:iCs w:val="0"/>
          <w:sz w:val="24"/>
          <w:szCs w:val="24"/>
        </w:rPr>
        <w:br/>
        <w:t>Enjeux de santé mentale, organisation du travail et prévention.</w:t>
      </w:r>
    </w:p>
    <w:p w14:paraId="00CAC59F" w14:textId="66C2430D" w:rsidR="00674E39" w:rsidRPr="007D57AF" w:rsidRDefault="007D57AF" w:rsidP="007D57AF">
      <w:pPr>
        <w:rPr>
          <w:rFonts w:ascii="Calibri" w:hAnsi="Calibri" w:cs="Calibri"/>
        </w:rPr>
      </w:pPr>
      <w:hyperlink r:id="rId6" w:history="1">
        <w:r w:rsidRPr="000B2F0D">
          <w:rPr>
            <w:rStyle w:val="Lienhypertexte"/>
            <w:rFonts w:ascii="Calibri" w:hAnsi="Calibri" w:cs="Calibri"/>
          </w:rPr>
          <w:t>https://www.who.int/fr/news-room/fact-sheets/detail/mental-health-at-work</w:t>
        </w:r>
      </w:hyperlink>
    </w:p>
    <w:p w14:paraId="4AA4FE02" w14:textId="77777777" w:rsidR="007D57AF" w:rsidRDefault="007D57AF" w:rsidP="007D57AF">
      <w:pPr>
        <w:spacing w:after="20"/>
        <w:jc w:val="center"/>
        <w:rPr>
          <w:rFonts w:ascii="Calibri" w:eastAsia="Calibri" w:hAnsi="Calibri" w:cs="Calibri"/>
          <w:b/>
          <w:bCs/>
          <w:i w:val="0"/>
          <w:iCs w:val="0"/>
          <w:color w:val="2F5D50"/>
          <w:sz w:val="21"/>
          <w:szCs w:val="21"/>
        </w:rPr>
      </w:pPr>
    </w:p>
    <w:p w14:paraId="141AB7EB" w14:textId="77777777" w:rsidR="00674E39" w:rsidRDefault="00674E39">
      <w:pPr>
        <w:jc w:val="center"/>
      </w:pPr>
    </w:p>
    <w:sectPr w:rsidR="00674E39" w:rsidSect="00AC5B41">
      <w:pgSz w:w="11906" w:h="16838"/>
      <w:pgMar w:top="793" w:right="1020" w:bottom="1063" w:left="10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Rockwell">
    <w:panose1 w:val="02060603020205020403"/>
    <w:charset w:val="4D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5A6F31"/>
    <w:multiLevelType w:val="hybridMultilevel"/>
    <w:tmpl w:val="D30AD9A6"/>
    <w:lvl w:ilvl="0" w:tplc="5DB2138A">
      <w:start w:val="1"/>
      <w:numFmt w:val="bullet"/>
      <w:lvlText w:val="●"/>
      <w:lvlJc w:val="left"/>
      <w:pPr>
        <w:ind w:left="720" w:hanging="360"/>
      </w:pPr>
    </w:lvl>
    <w:lvl w:ilvl="1" w:tplc="F6CC851C">
      <w:start w:val="1"/>
      <w:numFmt w:val="bullet"/>
      <w:lvlText w:val="○"/>
      <w:lvlJc w:val="left"/>
      <w:pPr>
        <w:ind w:left="1440" w:hanging="360"/>
      </w:pPr>
    </w:lvl>
    <w:lvl w:ilvl="2" w:tplc="02663D3A">
      <w:start w:val="1"/>
      <w:numFmt w:val="bullet"/>
      <w:lvlText w:val="■"/>
      <w:lvlJc w:val="left"/>
      <w:pPr>
        <w:ind w:left="2160" w:hanging="360"/>
      </w:pPr>
    </w:lvl>
    <w:lvl w:ilvl="3" w:tplc="33162C4C">
      <w:start w:val="1"/>
      <w:numFmt w:val="bullet"/>
      <w:lvlText w:val="●"/>
      <w:lvlJc w:val="left"/>
      <w:pPr>
        <w:ind w:left="2880" w:hanging="360"/>
      </w:pPr>
    </w:lvl>
    <w:lvl w:ilvl="4" w:tplc="B3D6C4CE">
      <w:start w:val="1"/>
      <w:numFmt w:val="bullet"/>
      <w:lvlText w:val="○"/>
      <w:lvlJc w:val="left"/>
      <w:pPr>
        <w:ind w:left="3600" w:hanging="360"/>
      </w:pPr>
    </w:lvl>
    <w:lvl w:ilvl="5" w:tplc="AF42E26C">
      <w:start w:val="1"/>
      <w:numFmt w:val="bullet"/>
      <w:lvlText w:val="■"/>
      <w:lvlJc w:val="left"/>
      <w:pPr>
        <w:ind w:left="4320" w:hanging="360"/>
      </w:pPr>
    </w:lvl>
    <w:lvl w:ilvl="6" w:tplc="F66873C6">
      <w:start w:val="1"/>
      <w:numFmt w:val="bullet"/>
      <w:lvlText w:val="●"/>
      <w:lvlJc w:val="left"/>
      <w:pPr>
        <w:ind w:left="5040" w:hanging="360"/>
      </w:pPr>
    </w:lvl>
    <w:lvl w:ilvl="7" w:tplc="0D3E6B1C">
      <w:start w:val="1"/>
      <w:numFmt w:val="bullet"/>
      <w:lvlText w:val="●"/>
      <w:lvlJc w:val="left"/>
      <w:pPr>
        <w:ind w:left="5760" w:hanging="360"/>
      </w:pPr>
    </w:lvl>
    <w:lvl w:ilvl="8" w:tplc="B3429C2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BA06EDC"/>
    <w:multiLevelType w:val="hybridMultilevel"/>
    <w:tmpl w:val="A02C457E"/>
    <w:lvl w:ilvl="0" w:tplc="514A0816">
      <w:start w:val="1"/>
      <w:numFmt w:val="bullet"/>
      <w:lvlText w:val="–"/>
      <w:lvlJc w:val="left"/>
      <w:pPr>
        <w:ind w:left="170" w:hanging="170"/>
      </w:pPr>
    </w:lvl>
    <w:lvl w:ilvl="1" w:tplc="9C806CF2">
      <w:numFmt w:val="decimal"/>
      <w:lvlText w:val=""/>
      <w:lvlJc w:val="left"/>
    </w:lvl>
    <w:lvl w:ilvl="2" w:tplc="DF569C5A">
      <w:numFmt w:val="decimal"/>
      <w:lvlText w:val=""/>
      <w:lvlJc w:val="left"/>
    </w:lvl>
    <w:lvl w:ilvl="3" w:tplc="9DA07406">
      <w:numFmt w:val="decimal"/>
      <w:lvlText w:val=""/>
      <w:lvlJc w:val="left"/>
    </w:lvl>
    <w:lvl w:ilvl="4" w:tplc="A6C0C3FA">
      <w:numFmt w:val="decimal"/>
      <w:lvlText w:val=""/>
      <w:lvlJc w:val="left"/>
    </w:lvl>
    <w:lvl w:ilvl="5" w:tplc="CDA494D0">
      <w:numFmt w:val="decimal"/>
      <w:lvlText w:val=""/>
      <w:lvlJc w:val="left"/>
    </w:lvl>
    <w:lvl w:ilvl="6" w:tplc="875AEFC6">
      <w:numFmt w:val="decimal"/>
      <w:lvlText w:val=""/>
      <w:lvlJc w:val="left"/>
    </w:lvl>
    <w:lvl w:ilvl="7" w:tplc="1FE85B6C">
      <w:numFmt w:val="decimal"/>
      <w:lvlText w:val=""/>
      <w:lvlJc w:val="left"/>
    </w:lvl>
    <w:lvl w:ilvl="8" w:tplc="B35AF2D0">
      <w:numFmt w:val="decimal"/>
      <w:lvlText w:val=""/>
      <w:lvlJc w:val="left"/>
    </w:lvl>
  </w:abstractNum>
  <w:num w:numId="1" w16cid:durableId="20675609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0BA"/>
    <w:rsid w:val="0015562C"/>
    <w:rsid w:val="002302EF"/>
    <w:rsid w:val="003A16F9"/>
    <w:rsid w:val="003C06CC"/>
    <w:rsid w:val="003E3691"/>
    <w:rsid w:val="004047D3"/>
    <w:rsid w:val="00531AC9"/>
    <w:rsid w:val="00674E39"/>
    <w:rsid w:val="007550BA"/>
    <w:rsid w:val="007A60EA"/>
    <w:rsid w:val="007D57AF"/>
    <w:rsid w:val="00873745"/>
    <w:rsid w:val="00922BCA"/>
    <w:rsid w:val="00927B3F"/>
    <w:rsid w:val="009E65F5"/>
    <w:rsid w:val="00AC5B41"/>
    <w:rsid w:val="00AF77AA"/>
    <w:rsid w:val="00B9372F"/>
    <w:rsid w:val="00CE0FAE"/>
    <w:rsid w:val="00D331D5"/>
    <w:rsid w:val="00E41490"/>
    <w:rsid w:val="00F4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BD45"/>
  <w15:docId w15:val="{E81A659A-A0B2-0B40-8F08-F756B0E3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7D3"/>
    <w:rPr>
      <w:i/>
      <w:iCs/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4047D3"/>
    <w:pPr>
      <w:pBdr>
        <w:top w:val="single" w:sz="8" w:space="0" w:color="FC7715" w:themeColor="accent2"/>
        <w:left w:val="single" w:sz="8" w:space="0" w:color="FC7715" w:themeColor="accent2"/>
        <w:bottom w:val="single" w:sz="8" w:space="0" w:color="FC7715" w:themeColor="accent2"/>
        <w:right w:val="single" w:sz="8" w:space="0" w:color="FC7715" w:themeColor="accent2"/>
      </w:pBdr>
      <w:shd w:val="clear" w:color="auto" w:fill="FEE3C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853901" w:themeColor="accent2" w:themeShade="7F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47D3"/>
    <w:pPr>
      <w:pBdr>
        <w:top w:val="single" w:sz="4" w:space="0" w:color="FC7715" w:themeColor="accent2"/>
        <w:left w:val="single" w:sz="48" w:space="2" w:color="FC7715" w:themeColor="accent2"/>
        <w:bottom w:val="single" w:sz="4" w:space="0" w:color="FC7715" w:themeColor="accent2"/>
        <w:right w:val="single" w:sz="4" w:space="4" w:color="FC7715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C95602" w:themeColor="accent2" w:themeShade="BF"/>
      <w:sz w:val="22"/>
      <w:szCs w:val="2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47D3"/>
    <w:pPr>
      <w:pBdr>
        <w:left w:val="single" w:sz="48" w:space="2" w:color="FC7715" w:themeColor="accent2"/>
        <w:bottom w:val="single" w:sz="4" w:space="0" w:color="FC7715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C95602" w:themeColor="accent2" w:themeShade="BF"/>
      <w:sz w:val="22"/>
      <w:szCs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47D3"/>
    <w:pPr>
      <w:pBdr>
        <w:left w:val="single" w:sz="4" w:space="2" w:color="FC7715" w:themeColor="accent2"/>
        <w:bottom w:val="single" w:sz="4" w:space="2" w:color="FC7715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C95602" w:themeColor="accent2" w:themeShade="BF"/>
      <w:sz w:val="22"/>
      <w:szCs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47D3"/>
    <w:pPr>
      <w:pBdr>
        <w:left w:val="dotted" w:sz="4" w:space="2" w:color="FC7715" w:themeColor="accent2"/>
        <w:bottom w:val="dotted" w:sz="4" w:space="2" w:color="FC7715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C95602" w:themeColor="accent2" w:themeShade="BF"/>
      <w:sz w:val="22"/>
      <w:szCs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47D3"/>
    <w:pPr>
      <w:pBdr>
        <w:bottom w:val="single" w:sz="4" w:space="2" w:color="FDC8A1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C95602" w:themeColor="accent2" w:themeShade="BF"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47D3"/>
    <w:pPr>
      <w:pBdr>
        <w:bottom w:val="dotted" w:sz="4" w:space="2" w:color="FDAD72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C95602" w:themeColor="accent2" w:themeShade="BF"/>
      <w:sz w:val="22"/>
      <w:szCs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47D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FC7715" w:themeColor="accent2"/>
      <w:sz w:val="22"/>
      <w:szCs w:val="22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47D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FC7715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4047D3"/>
    <w:pPr>
      <w:pBdr>
        <w:top w:val="single" w:sz="48" w:space="0" w:color="FC7715" w:themeColor="accent2"/>
        <w:bottom w:val="single" w:sz="48" w:space="0" w:color="FC7715" w:themeColor="accent2"/>
      </w:pBdr>
      <w:shd w:val="clear" w:color="auto" w:fill="FC7715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paragraph" w:customStyle="1" w:styleId="lev1">
    <w:name w:val="Élevé1"/>
    <w:rPr>
      <w:b/>
      <w:bCs/>
    </w:rPr>
  </w:style>
  <w:style w:type="paragraph" w:styleId="Paragraphedeliste">
    <w:name w:val="List Paragraph"/>
    <w:basedOn w:val="Normal"/>
    <w:uiPriority w:val="34"/>
    <w:qFormat/>
    <w:rsid w:val="004047D3"/>
    <w:pPr>
      <w:ind w:left="720"/>
      <w:contextualSpacing/>
    </w:pPr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4047D3"/>
    <w:rPr>
      <w:rFonts w:asciiTheme="majorHAnsi" w:eastAsiaTheme="majorEastAsia" w:hAnsiTheme="majorHAnsi" w:cstheme="majorBidi"/>
      <w:b/>
      <w:bCs/>
      <w:i/>
      <w:iCs/>
      <w:color w:val="853901" w:themeColor="accent2" w:themeShade="7F"/>
      <w:shd w:val="clear" w:color="auto" w:fill="FEE3CF" w:themeFill="accent2" w:themeFillTint="33"/>
    </w:rPr>
  </w:style>
  <w:style w:type="character" w:customStyle="1" w:styleId="Titre2Car">
    <w:name w:val="Titre 2 Car"/>
    <w:basedOn w:val="Policepardfaut"/>
    <w:link w:val="Titre2"/>
    <w:uiPriority w:val="9"/>
    <w:semiHidden/>
    <w:rsid w:val="004047D3"/>
    <w:rPr>
      <w:rFonts w:asciiTheme="majorHAnsi" w:eastAsiaTheme="majorEastAsia" w:hAnsiTheme="majorHAnsi" w:cstheme="majorBidi"/>
      <w:b/>
      <w:bCs/>
      <w:i/>
      <w:iCs/>
      <w:color w:val="C95602" w:themeColor="accent2" w:themeShade="BF"/>
    </w:rPr>
  </w:style>
  <w:style w:type="character" w:customStyle="1" w:styleId="Titre3Car">
    <w:name w:val="Titre 3 Car"/>
    <w:basedOn w:val="Policepardfaut"/>
    <w:link w:val="Titre3"/>
    <w:uiPriority w:val="9"/>
    <w:semiHidden/>
    <w:rsid w:val="004047D3"/>
    <w:rPr>
      <w:rFonts w:asciiTheme="majorHAnsi" w:eastAsiaTheme="majorEastAsia" w:hAnsiTheme="majorHAnsi" w:cstheme="majorBidi"/>
      <w:b/>
      <w:bCs/>
      <w:i/>
      <w:iCs/>
      <w:color w:val="C95602" w:themeColor="accent2" w:themeShade="BF"/>
    </w:rPr>
  </w:style>
  <w:style w:type="character" w:customStyle="1" w:styleId="Titre4Car">
    <w:name w:val="Titre 4 Car"/>
    <w:basedOn w:val="Policepardfaut"/>
    <w:link w:val="Titre4"/>
    <w:uiPriority w:val="9"/>
    <w:semiHidden/>
    <w:rsid w:val="004047D3"/>
    <w:rPr>
      <w:rFonts w:asciiTheme="majorHAnsi" w:eastAsiaTheme="majorEastAsia" w:hAnsiTheme="majorHAnsi" w:cstheme="majorBidi"/>
      <w:b/>
      <w:bCs/>
      <w:i/>
      <w:iCs/>
      <w:color w:val="C95602" w:themeColor="accent2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47D3"/>
    <w:rPr>
      <w:rFonts w:asciiTheme="majorHAnsi" w:eastAsiaTheme="majorEastAsia" w:hAnsiTheme="majorHAnsi" w:cstheme="majorBidi"/>
      <w:b/>
      <w:bCs/>
      <w:i/>
      <w:iCs/>
      <w:color w:val="C95602" w:themeColor="accen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47D3"/>
    <w:rPr>
      <w:rFonts w:asciiTheme="majorHAnsi" w:eastAsiaTheme="majorEastAsia" w:hAnsiTheme="majorHAnsi" w:cstheme="majorBidi"/>
      <w:i/>
      <w:iCs/>
      <w:color w:val="C95602" w:themeColor="accen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4047D3"/>
    <w:rPr>
      <w:rFonts w:asciiTheme="majorHAnsi" w:eastAsiaTheme="majorEastAsia" w:hAnsiTheme="majorHAnsi" w:cstheme="majorBidi"/>
      <w:i/>
      <w:iCs/>
      <w:color w:val="C95602" w:themeColor="accent2" w:themeShade="BF"/>
    </w:rPr>
  </w:style>
  <w:style w:type="character" w:customStyle="1" w:styleId="Titre8Car">
    <w:name w:val="Titre 8 Car"/>
    <w:basedOn w:val="Policepardfaut"/>
    <w:link w:val="Titre8"/>
    <w:uiPriority w:val="9"/>
    <w:semiHidden/>
    <w:rsid w:val="004047D3"/>
    <w:rPr>
      <w:rFonts w:asciiTheme="majorHAnsi" w:eastAsiaTheme="majorEastAsia" w:hAnsiTheme="majorHAnsi" w:cstheme="majorBidi"/>
      <w:i/>
      <w:iCs/>
      <w:color w:val="FC7715" w:themeColor="accent2"/>
    </w:rPr>
  </w:style>
  <w:style w:type="character" w:customStyle="1" w:styleId="Titre9Car">
    <w:name w:val="Titre 9 Car"/>
    <w:basedOn w:val="Policepardfaut"/>
    <w:link w:val="Titre9"/>
    <w:uiPriority w:val="9"/>
    <w:semiHidden/>
    <w:rsid w:val="004047D3"/>
    <w:rPr>
      <w:rFonts w:asciiTheme="majorHAnsi" w:eastAsiaTheme="majorEastAsia" w:hAnsiTheme="majorHAnsi" w:cstheme="majorBidi"/>
      <w:i/>
      <w:iCs/>
      <w:color w:val="FC7715" w:themeColor="accent2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047D3"/>
    <w:rPr>
      <w:b/>
      <w:bCs/>
      <w:color w:val="C95602" w:themeColor="accent2" w:themeShade="BF"/>
      <w:sz w:val="18"/>
      <w:szCs w:val="18"/>
    </w:rPr>
  </w:style>
  <w:style w:type="character" w:customStyle="1" w:styleId="TitreCar">
    <w:name w:val="Titre Car"/>
    <w:basedOn w:val="Policepardfaut"/>
    <w:link w:val="Titre"/>
    <w:uiPriority w:val="10"/>
    <w:rsid w:val="004047D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FC7715" w:themeFill="accent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47D3"/>
    <w:pPr>
      <w:pBdr>
        <w:bottom w:val="dotted" w:sz="8" w:space="10" w:color="FC7715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853901" w:themeColor="accent2" w:themeShade="7F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047D3"/>
    <w:rPr>
      <w:rFonts w:asciiTheme="majorHAnsi" w:eastAsiaTheme="majorEastAsia" w:hAnsiTheme="majorHAnsi" w:cstheme="majorBidi"/>
      <w:i/>
      <w:iCs/>
      <w:color w:val="853901" w:themeColor="accent2" w:themeShade="7F"/>
      <w:sz w:val="24"/>
      <w:szCs w:val="24"/>
    </w:rPr>
  </w:style>
  <w:style w:type="character" w:styleId="lev">
    <w:name w:val="Strong"/>
    <w:uiPriority w:val="22"/>
    <w:qFormat/>
    <w:rsid w:val="004047D3"/>
    <w:rPr>
      <w:b/>
      <w:bCs/>
      <w:spacing w:val="0"/>
    </w:rPr>
  </w:style>
  <w:style w:type="character" w:styleId="Accentuation">
    <w:name w:val="Emphasis"/>
    <w:uiPriority w:val="20"/>
    <w:qFormat/>
    <w:rsid w:val="004047D3"/>
    <w:rPr>
      <w:rFonts w:asciiTheme="majorHAnsi" w:eastAsiaTheme="majorEastAsia" w:hAnsiTheme="majorHAnsi" w:cstheme="majorBidi"/>
      <w:b/>
      <w:bCs/>
      <w:i/>
      <w:iCs/>
      <w:color w:val="FC7715" w:themeColor="accent2"/>
      <w:bdr w:val="single" w:sz="18" w:space="0" w:color="FEE3CF" w:themeColor="accent2" w:themeTint="33"/>
      <w:shd w:val="clear" w:color="auto" w:fill="FEE3CF" w:themeFill="accent2" w:themeFillTint="33"/>
    </w:rPr>
  </w:style>
  <w:style w:type="paragraph" w:styleId="Sansinterligne">
    <w:name w:val="No Spacing"/>
    <w:basedOn w:val="Normal"/>
    <w:uiPriority w:val="1"/>
    <w:qFormat/>
    <w:rsid w:val="004047D3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047D3"/>
    <w:rPr>
      <w:i w:val="0"/>
      <w:iCs w:val="0"/>
      <w:color w:val="C95602" w:themeColor="accent2" w:themeShade="BF"/>
    </w:rPr>
  </w:style>
  <w:style w:type="character" w:customStyle="1" w:styleId="CitationCar">
    <w:name w:val="Citation Car"/>
    <w:basedOn w:val="Policepardfaut"/>
    <w:link w:val="Citation"/>
    <w:uiPriority w:val="29"/>
    <w:rsid w:val="004047D3"/>
    <w:rPr>
      <w:color w:val="C95602" w:themeColor="accent2" w:themeShade="BF"/>
      <w:sz w:val="20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47D3"/>
    <w:pPr>
      <w:pBdr>
        <w:top w:val="dotted" w:sz="8" w:space="10" w:color="FC7715" w:themeColor="accent2"/>
        <w:bottom w:val="dotted" w:sz="8" w:space="10" w:color="FC7715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FC7715" w:themeColor="accent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47D3"/>
    <w:rPr>
      <w:rFonts w:asciiTheme="majorHAnsi" w:eastAsiaTheme="majorEastAsia" w:hAnsiTheme="majorHAnsi" w:cstheme="majorBidi"/>
      <w:b/>
      <w:bCs/>
      <w:i/>
      <w:iCs/>
      <w:color w:val="FC7715" w:themeColor="accent2"/>
      <w:sz w:val="20"/>
      <w:szCs w:val="20"/>
    </w:rPr>
  </w:style>
  <w:style w:type="character" w:styleId="Accentuationlgre">
    <w:name w:val="Subtle Emphasis"/>
    <w:uiPriority w:val="19"/>
    <w:qFormat/>
    <w:rsid w:val="004047D3"/>
    <w:rPr>
      <w:rFonts w:asciiTheme="majorHAnsi" w:eastAsiaTheme="majorEastAsia" w:hAnsiTheme="majorHAnsi" w:cstheme="majorBidi"/>
      <w:i/>
      <w:iCs/>
      <w:color w:val="FC7715" w:themeColor="accent2"/>
    </w:rPr>
  </w:style>
  <w:style w:type="character" w:styleId="Accentuationintense">
    <w:name w:val="Intense Emphasis"/>
    <w:uiPriority w:val="21"/>
    <w:qFormat/>
    <w:rsid w:val="004047D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FC7715" w:themeColor="accent2"/>
      <w:shd w:val="clear" w:color="auto" w:fill="FC7715" w:themeFill="accent2"/>
      <w:vertAlign w:val="baseline"/>
    </w:rPr>
  </w:style>
  <w:style w:type="character" w:styleId="Rfrencelgre">
    <w:name w:val="Subtle Reference"/>
    <w:uiPriority w:val="31"/>
    <w:qFormat/>
    <w:rsid w:val="004047D3"/>
    <w:rPr>
      <w:i/>
      <w:iCs/>
      <w:smallCaps/>
      <w:color w:val="FC7715" w:themeColor="accent2"/>
      <w:u w:color="FC7715" w:themeColor="accent2"/>
    </w:rPr>
  </w:style>
  <w:style w:type="character" w:styleId="Rfrenceintense">
    <w:name w:val="Intense Reference"/>
    <w:uiPriority w:val="32"/>
    <w:qFormat/>
    <w:rsid w:val="004047D3"/>
    <w:rPr>
      <w:b/>
      <w:bCs/>
      <w:i/>
      <w:iCs/>
      <w:smallCaps/>
      <w:color w:val="FC7715" w:themeColor="accent2"/>
      <w:u w:color="FC7715" w:themeColor="accent2"/>
    </w:rPr>
  </w:style>
  <w:style w:type="character" w:styleId="Titredulivre">
    <w:name w:val="Book Title"/>
    <w:uiPriority w:val="33"/>
    <w:qFormat/>
    <w:rsid w:val="004047D3"/>
    <w:rPr>
      <w:rFonts w:asciiTheme="majorHAnsi" w:eastAsiaTheme="majorEastAsia" w:hAnsiTheme="majorHAnsi" w:cstheme="majorBidi"/>
      <w:b/>
      <w:bCs/>
      <w:i/>
      <w:iCs/>
      <w:smallCaps/>
      <w:color w:val="C95602" w:themeColor="accent2" w:themeShade="BF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047D3"/>
    <w:pPr>
      <w:outlineLvl w:val="9"/>
    </w:pPr>
  </w:style>
  <w:style w:type="paragraph" w:customStyle="1" w:styleId="font-claude-response-body">
    <w:name w:val="font-claude-response-body"/>
    <w:basedOn w:val="Normal"/>
    <w:rsid w:val="00674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674E3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74E39"/>
    <w:rPr>
      <w:color w:val="B49E74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7D5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D5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who.int/fr/news-room/fact-sheets/detail/mental-health-at-wor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Atlas">
  <a:themeElements>
    <a:clrScheme name="Atlas">
      <a:dk1>
        <a:sysClr val="windowText" lastClr="000000"/>
      </a:dk1>
      <a:lt1>
        <a:sysClr val="window" lastClr="FFFFFF"/>
      </a:lt1>
      <a:dk2>
        <a:srgbClr val="454545"/>
      </a:dk2>
      <a:lt2>
        <a:srgbClr val="E0E0E0"/>
      </a:lt2>
      <a:accent1>
        <a:srgbClr val="F81B02"/>
      </a:accent1>
      <a:accent2>
        <a:srgbClr val="FC7715"/>
      </a:accent2>
      <a:accent3>
        <a:srgbClr val="AFBF41"/>
      </a:accent3>
      <a:accent4>
        <a:srgbClr val="50C49F"/>
      </a:accent4>
      <a:accent5>
        <a:srgbClr val="3B95C4"/>
      </a:accent5>
      <a:accent6>
        <a:srgbClr val="B560D4"/>
      </a:accent6>
      <a:hlink>
        <a:srgbClr val="FC5A1A"/>
      </a:hlink>
      <a:folHlink>
        <a:srgbClr val="B49E74"/>
      </a:folHlink>
    </a:clrScheme>
    <a:fontScheme name="Atlas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tlas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alpha val="60000"/>
                <a:satMod val="109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4000"/>
                <a:satMod val="130000"/>
                <a:lumMod val="92000"/>
              </a:schemeClr>
            </a:gs>
            <a:gs pos="100000">
              <a:schemeClr val="phClr">
                <a:shade val="76000"/>
                <a:satMod val="130000"/>
                <a:lumMod val="88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90000"/>
            </a:schemeClr>
          </a:solidFill>
          <a:prstDash val="solid"/>
        </a:ln>
        <a:ln w="15875" cap="flat" cmpd="sng" algn="ctr">
          <a:solidFill>
            <a:schemeClr val="phClr">
              <a:shade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5400" dir="5400000" rotWithShape="0">
              <a:srgbClr val="000000">
                <a:alpha val="7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0" h="0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10000">
              <a:schemeClr val="phClr">
                <a:tint val="94000"/>
                <a:lumMod val="116000"/>
              </a:schemeClr>
            </a:gs>
            <a:gs pos="100000">
              <a:schemeClr val="phClr">
                <a:tint val="98000"/>
                <a:shade val="86000"/>
                <a:satMod val="90000"/>
                <a:lumMod val="88000"/>
              </a:schemeClr>
            </a:gs>
          </a:gsLst>
          <a:path path="circle">
            <a:fillToRect l="50000" t="15000" r="50000" b="169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tlas" id="{5156B0E4-0EB1-49FE-A26B-15F6F698AEC6}" vid="{508F7963-D0B5-43F7-BB2C-FCE3009C08E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F7E450-B345-5D4F-A2D7-57DB599BC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560</Words>
  <Characters>2952</Characters>
  <Application>Microsoft Office Word</Application>
  <DocSecurity>0</DocSecurity>
  <Lines>101</Lines>
  <Paragraphs>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Françoise Carboulec</cp:lastModifiedBy>
  <cp:revision>12</cp:revision>
  <cp:lastPrinted>2026-09-14T17:11:00Z</cp:lastPrinted>
  <dcterms:created xsi:type="dcterms:W3CDTF">2026-09-15T06:42:00Z</dcterms:created>
  <dcterms:modified xsi:type="dcterms:W3CDTF">2026-09-15T13:47:00Z</dcterms:modified>
</cp:coreProperties>
</file>