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shd w:fill="1B3A5C" w:val="clear"/>
            <w:tcMar>
              <w:top w:type="dxa" w:w="320"/>
              <w:left w:type="dxa" w:w="460"/>
              <w:bottom w:type="dxa" w:w="320"/>
              <w:right w:type="dxa" w:w="460"/>
            </w:tcMar>
          </w:tcPr>
          <w:p>
            <w:pPr>
              <w:spacing w:before="0" w:after="10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C8703A"/>
                <w:spacing w:val="60"/>
                <w:sz w:val="18"/>
                <w:szCs w:val="18"/>
              </w:rPr>
              <w:t xml:space="preserve">THE WORKPLACE CURRICULUM INSTITUTE</w:t>
            </w:r>
          </w:p>
          <w:p>
            <w:pPr>
              <w:spacing w:before="0" w:after="10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52"/>
                <w:szCs w:val="52"/>
              </w:rPr>
              <w:t xml:space="preserve">Breaking the</w:t>
            </w:r>
          </w:p>
          <w:p>
            <w:pPr>
              <w:spacing w:before="0" w:after="18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52"/>
                <w:szCs w:val="52"/>
              </w:rPr>
              <w:t xml:space="preserve">Imposter Pattern</w:t>
            </w:r>
          </w:p>
          <w:p>
            <w:pPr>
              <w:spacing w:before="0" w:after="0"/>
              <w:jc w:val="center"/>
            </w:pPr>
            <w:r>
              <w:rPr>
                <w:rFonts w:ascii="Georgia" w:cs="Georgia" w:eastAsia="Georgia" w:hAnsi="Georgia"/>
                <w:i/>
                <w:iCs/>
                <w:color w:val="EAF4F4"/>
                <w:sz w:val="24"/>
                <w:szCs w:val="24"/>
              </w:rPr>
              <w:t xml:space="preserve">Building Confidence and Self-Leadership at Work</w:t>
            </w:r>
          </w:p>
        </w:tc>
      </w:tr>
    </w:tbl>
    <w:p>
      <w:pPr>
        <w:spacing w:before="0" w:after="20"/>
      </w:pPr>
      <w:r>
        <w:t xml:space="preserve"/>
      </w:r>
    </w:p>
    <w:tbl>
      <w:tblPr>
        <w:tblW w:type="dxa" w:w="9360"/>
        <w:tblBorders>
          <w:top w:val="single" w:color="C8703A" w:sz="6"/>
          <w:left w:val="none"/>
          <w:bottom w:val="single" w:color="C8703A" w:sz="6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shd w:fill="FDF3EC" w:val="clear"/>
            <w:tcMar>
              <w:top w:type="dxa" w:w="100"/>
              <w:left w:type="dxa" w:w="280"/>
              <w:bottom w:type="dxa" w:w="100"/>
              <w:right w:type="dxa" w:w="2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C8703A"/>
                <w:spacing w:val="20"/>
                <w:sz w:val="18"/>
                <w:szCs w:val="18"/>
              </w:rPr>
              <w:t xml:space="preserve">SAMPLE EXTRACT — For evaluation purposes only — Full materials available to Licensed WCI Facilitators</w:t>
            </w:r>
          </w:p>
        </w:tc>
      </w:tr>
    </w:tbl>
    <w:p>
      <w:pPr>
        <w:spacing w:before="0" w:after="60"/>
      </w:pPr>
      <w:r>
        <w:t xml:space="preserve"/>
      </w:r>
    </w:p>
    <w:tbl>
      <w:tblPr>
        <w:tblW w:type="dxa" w:w="9360"/>
        <w:tblBorders>
          <w:top w:val="none"/>
          <w:left w:val="single" w:color="2A7F7F" w:sz="48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shd w:fill="EAF4F4" w:val="clear"/>
            <w:tcMar>
              <w:top w:type="dxa" w:w="180"/>
              <w:left w:type="dxa" w:w="340"/>
              <w:bottom w:type="dxa" w:w="180"/>
              <w:right w:type="dxa" w:w="280"/>
            </w:tcMar>
          </w:tcPr>
          <w:p>
            <w:pPr>
              <w:spacing w:before="0" w:after="80"/>
            </w:pPr>
            <w:r>
              <w:rPr>
                <w:rFonts w:ascii="Calibri" w:cs="Calibri" w:eastAsia="Calibri" w:hAnsi="Calibri"/>
                <w:b/>
                <w:bCs/>
                <w:color w:val="2A7F7F"/>
                <w:sz w:val="20"/>
                <w:szCs w:val="20"/>
              </w:rPr>
              <w:t xml:space="preserve">What you’re looking at</w:t>
            </w:r>
          </w:p>
          <w:p>
            <w:pPr>
              <w:spacing w:before="0" w:after="180" w:line="340" w:lineRule="auto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2C2C2C"/>
                <w:sz w:val="22"/>
                <w:szCs w:val="22"/>
              </w:rPr>
              <w:t xml:space="preserve">This document gives you a direct look inside Breaking the Imposter Pattern — one of eleven professionally developed workplace wellness programs included in the WCI Licensed Facilitator Programme. It contains the programme overview, the core conceptual model, the proprietary Clear Mind Method™ framework, the five imposter patterns reference, and a full sample exercise drawn from the Participant Workbook.</w:t>
            </w:r>
          </w:p>
          <w:p>
            <w:pPr>
              <w:spacing w:before="0" w:after="0"/>
            </w:pPr>
            <w:r>
              <w:rPr>
                <w:rFonts w:ascii="Georgia" w:cs="Georgia" w:eastAsia="Georgia" w:hAnsi="Georgia"/>
                <w:i/>
                <w:iCs/>
                <w:color w:val="2A7F7F"/>
                <w:sz w:val="22"/>
                <w:szCs w:val="22"/>
              </w:rPr>
              <w:t xml:space="preserve">Full facilitator manuals, participant workbooks, and slide decks are available to licensed WCI Facilitators only.</w:t>
            </w:r>
          </w:p>
        </w:tc>
      </w:tr>
    </w:tbl>
    <w:p>
      <w:pPr>
        <w:spacing w:before="0" w:after="60"/>
      </w:pPr>
      <w:r>
        <w:t xml:space="preserve"/>
      </w:r>
    </w:p>
    <w:p>
      <w:pPr>
        <w:pBdr>
          <w:bottom w:val="single" w:color="D0D8E0" w:sz="4" w:space="1"/>
        </w:pBdr>
        <w:spacing w:before="0" w:after="200"/>
      </w:pPr>
      <w:r>
        <w:t xml:space="preserve"/>
      </w:r>
    </w:p>
    <w:p>
      <w:pPr>
        <w:spacing w:before="360" w:after="160"/>
      </w:pPr>
      <w:r>
        <w:rPr>
          <w:rFonts w:ascii="Calibri" w:cs="Calibri" w:eastAsia="Calibri" w:hAnsi="Calibri"/>
          <w:b/>
          <w:bCs/>
          <w:color w:val="1B3A5C"/>
          <w:spacing w:val="40"/>
          <w:sz w:val="22"/>
          <w:szCs w:val="22"/>
        </w:rPr>
        <w:t xml:space="preserve">PROGRAMME OVERVIEW</w:t>
      </w:r>
    </w:p>
    <w:p>
      <w:pPr>
        <w:spacing w:before="0" w:after="180" w:line="340" w:lineRule="auto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2C2C2C"/>
          <w:sz w:val="22"/>
          <w:szCs w:val="22"/>
        </w:rPr>
        <w:t xml:space="preserve">Breaking the Imposter Pattern is a three-session leadership development programme. It addresses one of the most persistent barriers to professional performance: the internal pattern of self-doubt that causes capable people to underestimate their competence, limit their contribution, and hold back from the opportunities they are qualified to pursue.</w:t>
      </w:r>
    </w:p>
    <w:p>
      <w:pPr>
        <w:spacing w:before="0" w:after="180" w:line="340" w:lineRule="auto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2C2C2C"/>
          <w:sz w:val="22"/>
          <w:szCs w:val="22"/>
        </w:rPr>
        <w:t xml:space="preserve">The programme is built around a clear proprietary methodology — the Clear Mind Method™ — and moves through three progressive stages:</w:t>
      </w:r>
    </w:p>
    <w:p>
      <w:pPr>
        <w:spacing w:before="0" w:after="40"/>
      </w:pPr>
      <w: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1B3A5C" w:val="clear"/>
            <w:tcMar>
              <w:top w:type="dxa" w:w="180"/>
              <w:left w:type="dxa" w:w="180"/>
              <w:bottom w:type="dxa" w:w="60"/>
              <w:right w:type="dxa" w:w="1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C8703A"/>
                <w:sz w:val="18"/>
                <w:szCs w:val="18"/>
              </w:rPr>
              <w:t xml:space="preserve">SESSION 1</w:t>
            </w:r>
          </w:p>
        </w:tc>
        <w:tc>
          <w:tcPr>
            <w:tcW w:type="dxa" w:w="3120"/>
            <w:shd w:fill="2A7F7F" w:val="clear"/>
            <w:tcMar>
              <w:top w:type="dxa" w:w="180"/>
              <w:left w:type="dxa" w:w="180"/>
              <w:bottom w:type="dxa" w:w="60"/>
              <w:right w:type="dxa" w:w="1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SESSION 2</w:t>
            </w:r>
          </w:p>
        </w:tc>
        <w:tc>
          <w:tcPr>
            <w:tcW w:type="dxa" w:w="3120"/>
            <w:shd w:fill="1B3A5C" w:val="clear"/>
            <w:tcMar>
              <w:top w:type="dxa" w:w="180"/>
              <w:left w:type="dxa" w:w="180"/>
              <w:bottom w:type="dxa" w:w="60"/>
              <w:right w:type="dxa" w:w="1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C8703A"/>
                <w:sz w:val="18"/>
                <w:szCs w:val="18"/>
              </w:rPr>
              <w:t xml:space="preserve">SESSION 3</w:t>
            </w:r>
          </w:p>
        </w:tc>
      </w:tr>
      <w:tr>
        <w:tc>
          <w:tcPr>
            <w:tcW w:type="dxa" w:w="3120"/>
            <w:shd w:fill="1B3A5C" w:val="clear"/>
            <w:tcMar>
              <w:top w:type="dxa" w:w="0"/>
              <w:left w:type="dxa" w:w="180"/>
              <w:bottom w:type="dxa" w:w="180"/>
              <w:right w:type="dxa" w:w="1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2"/>
                <w:szCs w:val="22"/>
              </w:rPr>
              <w:t xml:space="preserve">Recognise the Pattern</w:t>
            </w:r>
          </w:p>
        </w:tc>
        <w:tc>
          <w:tcPr>
            <w:tcW w:type="dxa" w:w="3120"/>
            <w:shd w:fill="2A7F7F" w:val="clear"/>
            <w:tcMar>
              <w:top w:type="dxa" w:w="0"/>
              <w:left w:type="dxa" w:w="180"/>
              <w:bottom w:type="dxa" w:w="180"/>
              <w:right w:type="dxa" w:w="1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2"/>
                <w:szCs w:val="22"/>
              </w:rPr>
              <w:t xml:space="preserve">Interrupt the Cycle</w:t>
            </w:r>
          </w:p>
        </w:tc>
        <w:tc>
          <w:tcPr>
            <w:tcW w:type="dxa" w:w="3120"/>
            <w:shd w:fill="1B3A5C" w:val="clear"/>
            <w:tcMar>
              <w:top w:type="dxa" w:w="0"/>
              <w:left w:type="dxa" w:w="180"/>
              <w:bottom w:type="dxa" w:w="180"/>
              <w:right w:type="dxa" w:w="1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2"/>
                <w:szCs w:val="22"/>
              </w:rPr>
              <w:t xml:space="preserve">Lead from Confidence</w:t>
            </w:r>
          </w:p>
        </w:tc>
      </w:tr>
      <w:tr>
        <w:tc>
          <w:tcPr>
            <w:tcW w:type="dxa" w:w="3120"/>
            <w:shd w:fill="EEF2F6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0" w:after="60"/>
            </w:pPr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Name your imposter patterns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0" w:after="60"/>
            </w:pPr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Separate facts from interpretation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0" w:after="0"/>
            </w:pPr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Build your evidence base</w:t>
            </w:r>
          </w:p>
        </w:tc>
        <w:tc>
          <w:tcPr>
            <w:tcW w:type="dxa" w:w="3120"/>
            <w:shd w:fill="EAF4F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0" w:after="60"/>
            </w:pPr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Understand the imposter cycle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0" w:after="60"/>
            </w:pPr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Apply the Clear Mind Method™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0" w:after="0"/>
            </w:pPr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Build your Reframe Bank</w:t>
            </w:r>
          </w:p>
        </w:tc>
        <w:tc>
          <w:tcPr>
            <w:tcW w:type="dxa" w:w="3120"/>
            <w:shd w:fill="EEF2F6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0" w:after="60"/>
            </w:pPr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Develop professional presence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0" w:after="60"/>
            </w:pPr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Practise confident communication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0" w:after="0"/>
            </w:pPr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Build your Personal Confidence Development Plan</w:t>
            </w:r>
          </w:p>
        </w:tc>
      </w:tr>
    </w:tbl>
    <w:p>
      <w:pPr>
        <w:spacing w:before="0" w:after="60"/>
      </w:pPr>
      <w: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before="0"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3A5C"/>
                <w:spacing w:val="30"/>
                <w:sz w:val="17"/>
                <w:szCs w:val="17"/>
              </w:rPr>
              <w:t xml:space="preserve">FORMAT</w:t>
            </w:r>
          </w:p>
          <w:p>
            <w:pPr>
              <w:spacing w:before="0" w:after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2C2C2C"/>
                <w:sz w:val="22"/>
                <w:szCs w:val="22"/>
              </w:rPr>
              <w:t xml:space="preserve">3-Session Programme</w:t>
            </w:r>
          </w:p>
        </w:tc>
        <w:tc>
          <w:tcPr>
            <w:tcW w:type="dxa" w:w="3120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before="0"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A7F7F"/>
                <w:spacing w:val="30"/>
                <w:sz w:val="17"/>
                <w:szCs w:val="17"/>
              </w:rPr>
              <w:t xml:space="preserve">DURATION</w:t>
            </w:r>
          </w:p>
          <w:p>
            <w:pPr>
              <w:spacing w:before="0" w:after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2C2C2C"/>
                <w:sz w:val="22"/>
                <w:szCs w:val="22"/>
              </w:rPr>
              <w:t xml:space="preserve">2 Hours Per Session</w:t>
            </w:r>
          </w:p>
        </w:tc>
        <w:tc>
          <w:tcPr>
            <w:tcW w:type="dxa" w:w="3120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before="0"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3A5C"/>
                <w:spacing w:val="30"/>
                <w:sz w:val="17"/>
                <w:szCs w:val="17"/>
              </w:rPr>
              <w:t xml:space="preserve">AUDIENCE</w:t>
            </w:r>
          </w:p>
          <w:p>
            <w:pPr>
              <w:spacing w:before="0" w:after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2C2C2C"/>
                <w:sz w:val="22"/>
                <w:szCs w:val="22"/>
              </w:rPr>
              <w:t xml:space="preserve">Professionals &amp; Leaders</w:t>
            </w:r>
          </w:p>
        </w:tc>
      </w:tr>
    </w:tbl>
    <w:p>
      <w:pPr>
        <w:spacing w:before="0" w:after="60"/>
      </w:pPr>
      <w:r>
        <w:t xml:space="preserve"/>
      </w:r>
    </w:p>
    <w:p>
      <w:pPr>
        <w:pBdr>
          <w:bottom w:val="single" w:color="D0D8E0" w:sz="4" w:space="1"/>
        </w:pBdr>
        <w:spacing w:before="0" w:after="200"/>
      </w:pPr>
      <w:r>
        <w:t xml:space="preserve"/>
      </w:r>
    </w:p>
    <w:p>
      <w:pPr>
        <w:spacing w:before="360" w:after="160"/>
      </w:pPr>
      <w:r>
        <w:rPr>
          <w:rFonts w:ascii="Calibri" w:cs="Calibri" w:eastAsia="Calibri" w:hAnsi="Calibri"/>
          <w:b/>
          <w:bCs/>
          <w:color w:val="1B3A5C"/>
          <w:spacing w:val="40"/>
          <w:sz w:val="22"/>
          <w:szCs w:val="22"/>
        </w:rPr>
        <w:t xml:space="preserve">WHAT PARTICIPANTS WILL BE ABLE TO DO</w:t>
      </w:r>
    </w:p>
    <w:p>
      <w:pPr>
        <w:spacing w:before="0" w:after="180" w:line="340" w:lineRule="auto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2C2C2C"/>
          <w:sz w:val="22"/>
          <w:szCs w:val="22"/>
        </w:rPr>
        <w:t xml:space="preserve">On completion of Breaking the Imposter Pattern, participants will be able to:</w:t>
      </w:r>
    </w:p>
    <w:p>
      <w:pPr>
        <w:spacing w:before="0" w:after="40"/>
      </w:pPr>
      <w: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400"/>
        <w:gridCol w:w="7960"/>
      </w:tblGrid>
      <w:tr>
        <w:tc>
          <w:tcPr>
            <w:tcW w:type="dxa" w:w="1400"/>
            <w:shd w:fill="2A7F7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pacing w:val="20"/>
                <w:sz w:val="18"/>
                <w:szCs w:val="18"/>
              </w:rPr>
              <w:t xml:space="preserve">RECOGNISE</w:t>
            </w:r>
          </w:p>
        </w:tc>
        <w:tc>
          <w:tcPr>
            <w:tcW w:type="dxa" w:w="7960"/>
            <w:tcMar>
              <w:top w:type="dxa" w:w="100"/>
              <w:left w:type="dxa" w:w="180"/>
              <w:bottom w:type="dxa" w:w="100"/>
              <w:right w:type="dxa" w:w="120"/>
            </w:tcMar>
            <w:vAlign w:val="top"/>
          </w:tcPr>
          <w:p>
            <w:r>
              <w:rPr>
                <w:rFonts w:ascii="Georgia" w:cs="Georgia" w:eastAsia="Georgia" w:hAnsi="Georgia"/>
                <w:color w:val="2C2C2C"/>
                <w:sz w:val="22"/>
                <w:szCs w:val="22"/>
              </w:rPr>
              <w:t xml:space="preserve">Identify their dominant imposter pattern and the specific professional triggers that activate self-doubt in their role</w:t>
            </w:r>
          </w:p>
        </w:tc>
      </w:tr>
      <w:tr>
        <w:tc>
          <w:tcPr>
            <w:tcW w:type="dxa" w:w="1400"/>
            <w:shd w:fill="2A7F7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pacing w:val="20"/>
                <w:sz w:val="18"/>
                <w:szCs w:val="18"/>
              </w:rPr>
              <w:t xml:space="preserve">UNDERSTAND</w:t>
            </w:r>
          </w:p>
        </w:tc>
        <w:tc>
          <w:tcPr>
            <w:tcW w:type="dxa" w:w="7960"/>
            <w:tcMar>
              <w:top w:type="dxa" w:w="100"/>
              <w:left w:type="dxa" w:w="180"/>
              <w:bottom w:type="dxa" w:w="100"/>
              <w:right w:type="dxa" w:w="120"/>
            </w:tcMar>
            <w:vAlign w:val="top"/>
          </w:tcPr>
          <w:p>
            <w:r>
              <w:rPr>
                <w:rFonts w:ascii="Georgia" w:cs="Georgia" w:eastAsia="Georgia" w:hAnsi="Georgia"/>
                <w:color w:val="2C2C2C"/>
                <w:sz w:val="22"/>
                <w:szCs w:val="22"/>
              </w:rPr>
              <w:t xml:space="preserve">Explain how the imposter cycle reinforces self-limiting beliefs — and where the most effective intervention points are</w:t>
            </w:r>
          </w:p>
        </w:tc>
      </w:tr>
      <w:tr>
        <w:tc>
          <w:tcPr>
            <w:tcW w:type="dxa" w:w="1400"/>
            <w:shd w:fill="2A7F7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pacing w:val="20"/>
                <w:sz w:val="18"/>
                <w:szCs w:val="18"/>
              </w:rPr>
              <w:t xml:space="preserve">INTERRUPT</w:t>
            </w:r>
          </w:p>
        </w:tc>
        <w:tc>
          <w:tcPr>
            <w:tcW w:type="dxa" w:w="7960"/>
            <w:tcMar>
              <w:top w:type="dxa" w:w="100"/>
              <w:left w:type="dxa" w:w="180"/>
              <w:bottom w:type="dxa" w:w="100"/>
              <w:right w:type="dxa" w:w="120"/>
            </w:tcMar>
            <w:vAlign w:val="top"/>
          </w:tcPr>
          <w:p>
            <w:r>
              <w:rPr>
                <w:rFonts w:ascii="Georgia" w:cs="Georgia" w:eastAsia="Georgia" w:hAnsi="Georgia"/>
                <w:color w:val="2C2C2C"/>
                <w:sz w:val="22"/>
                <w:szCs w:val="22"/>
              </w:rPr>
              <w:t xml:space="preserve">Apply the Clear Mind Method™ to interrupt imposter thinking in real time, in live professional situations</w:t>
            </w:r>
          </w:p>
        </w:tc>
      </w:tr>
      <w:tr>
        <w:tc>
          <w:tcPr>
            <w:tcW w:type="dxa" w:w="1400"/>
            <w:shd w:fill="2A7F7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pacing w:val="20"/>
                <w:sz w:val="18"/>
                <w:szCs w:val="18"/>
              </w:rPr>
              <w:t xml:space="preserve">REFRAME</w:t>
            </w:r>
          </w:p>
        </w:tc>
        <w:tc>
          <w:tcPr>
            <w:tcW w:type="dxa" w:w="7960"/>
            <w:tcMar>
              <w:top w:type="dxa" w:w="100"/>
              <w:left w:type="dxa" w:w="180"/>
              <w:bottom w:type="dxa" w:w="100"/>
              <w:right w:type="dxa" w:w="120"/>
            </w:tcMar>
            <w:vAlign w:val="top"/>
          </w:tcPr>
          <w:p>
            <w:r>
              <w:rPr>
                <w:rFonts w:ascii="Georgia" w:cs="Georgia" w:eastAsia="Georgia" w:hAnsi="Georgia"/>
                <w:color w:val="2C2C2C"/>
                <w:sz w:val="22"/>
                <w:szCs w:val="22"/>
              </w:rPr>
              <w:t xml:space="preserve">Replace inaccurate self-assessment with evidence-based thinking grounded in their actual professional competence</w:t>
            </w:r>
          </w:p>
        </w:tc>
      </w:tr>
      <w:tr>
        <w:tc>
          <w:tcPr>
            <w:tcW w:type="dxa" w:w="1400"/>
            <w:shd w:fill="2A7F7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pacing w:val="20"/>
                <w:sz w:val="18"/>
                <w:szCs w:val="18"/>
              </w:rPr>
              <w:t xml:space="preserve">COMMUNICATE</w:t>
            </w:r>
          </w:p>
        </w:tc>
        <w:tc>
          <w:tcPr>
            <w:tcW w:type="dxa" w:w="7960"/>
            <w:tcMar>
              <w:top w:type="dxa" w:w="100"/>
              <w:left w:type="dxa" w:w="180"/>
              <w:bottom w:type="dxa" w:w="100"/>
              <w:right w:type="dxa" w:w="120"/>
            </w:tcMar>
            <w:vAlign w:val="top"/>
          </w:tcPr>
          <w:p>
            <w:r>
              <w:rPr>
                <w:rFonts w:ascii="Georgia" w:cs="Georgia" w:eastAsia="Georgia" w:hAnsi="Georgia"/>
                <w:color w:val="2C2C2C"/>
                <w:sz w:val="22"/>
                <w:szCs w:val="22"/>
              </w:rPr>
              <w:t xml:space="preserve">Demonstrate more direct, authoritative communication in high-stakes professional situations</w:t>
            </w:r>
          </w:p>
        </w:tc>
      </w:tr>
      <w:tr>
        <w:tc>
          <w:tcPr>
            <w:tcW w:type="dxa" w:w="1400"/>
            <w:shd w:fill="2A7F7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pacing w:val="20"/>
                <w:sz w:val="18"/>
                <w:szCs w:val="18"/>
              </w:rPr>
              <w:t xml:space="preserve">ACT</w:t>
            </w:r>
          </w:p>
        </w:tc>
        <w:tc>
          <w:tcPr>
            <w:tcW w:type="dxa" w:w="7960"/>
            <w:tcMar>
              <w:top w:type="dxa" w:w="100"/>
              <w:left w:type="dxa" w:w="180"/>
              <w:bottom w:type="dxa" w:w="100"/>
              <w:right w:type="dxa" w:w="120"/>
            </w:tcMar>
            <w:vAlign w:val="top"/>
          </w:tcPr>
          <w:p>
            <w:r>
              <w:rPr>
                <w:rFonts w:ascii="Georgia" w:cs="Georgia" w:eastAsia="Georgia" w:hAnsi="Georgia"/>
                <w:color w:val="2C2C2C"/>
                <w:sz w:val="22"/>
                <w:szCs w:val="22"/>
              </w:rPr>
              <w:t xml:space="preserve">Take purposeful action in situations where self-doubt previously caused avoidance, delay, or over-compensation</w:t>
            </w:r>
          </w:p>
        </w:tc>
      </w:tr>
      <w:tr>
        <w:tc>
          <w:tcPr>
            <w:tcW w:type="dxa" w:w="1400"/>
            <w:shd w:fill="2A7F7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pacing w:val="20"/>
                <w:sz w:val="18"/>
                <w:szCs w:val="18"/>
              </w:rPr>
              <w:t xml:space="preserve">LEAD</w:t>
            </w:r>
          </w:p>
        </w:tc>
        <w:tc>
          <w:tcPr>
            <w:tcW w:type="dxa" w:w="7960"/>
            <w:tcMar>
              <w:top w:type="dxa" w:w="100"/>
              <w:left w:type="dxa" w:w="180"/>
              <w:bottom w:type="dxa" w:w="100"/>
              <w:right w:type="dxa" w:w="120"/>
            </w:tcMar>
            <w:vAlign w:val="top"/>
          </w:tcPr>
          <w:p>
            <w:r>
              <w:rPr>
                <w:rFonts w:ascii="Georgia" w:cs="Georgia" w:eastAsia="Georgia" w:hAnsi="Georgia"/>
                <w:color w:val="2C2C2C"/>
                <w:sz w:val="22"/>
                <w:szCs w:val="22"/>
              </w:rPr>
              <w:t xml:space="preserve">Apply a structured self-leadership practice to sustain and develop professional confidence beyond the programme</w:t>
            </w:r>
          </w:p>
        </w:tc>
      </w:tr>
    </w:tbl>
    <w:p>
      <w:pPr>
        <w:spacing w:before="0" w:after="60"/>
      </w:pPr>
      <w:r>
        <w:t xml:space="preserve"/>
      </w:r>
    </w:p>
    <w:p>
      <w:pPr>
        <w:pBdr>
          <w:bottom w:val="single" w:color="D0D8E0" w:sz="4" w:space="1"/>
        </w:pBdr>
        <w:spacing w:before="0" w:after="200"/>
      </w:pPr>
      <w:r>
        <w:t xml:space="preserve"/>
      </w:r>
    </w:p>
    <w:p>
      <w:pPr>
        <w:spacing w:before="360" w:after="160"/>
      </w:pPr>
      <w:r>
        <w:rPr>
          <w:rFonts w:ascii="Calibri" w:cs="Calibri" w:eastAsia="Calibri" w:hAnsi="Calibri"/>
          <w:b/>
          <w:bCs/>
          <w:color w:val="1B3A5C"/>
          <w:spacing w:val="40"/>
          <w:sz w:val="22"/>
          <w:szCs w:val="22"/>
        </w:rPr>
        <w:t xml:space="preserve">THE CORE CONCEPTUAL MODEL: THE IMPOSTER CYCLE</w:t>
      </w:r>
    </w:p>
    <w:p>
      <w:pPr>
        <w:spacing w:before="0" w:after="180" w:line="340" w:lineRule="auto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2C2C2C"/>
          <w:sz w:val="22"/>
          <w:szCs w:val="22"/>
        </w:rPr>
        <w:t xml:space="preserve">The imposter cycle is the programme’s central model. It shows how self-doubt is not a fixed state but a self-sustaining loop — and identifies precisely where the Clear Mind Method™ intervenes to break it.</w:t>
      </w:r>
    </w:p>
    <w:p>
      <w:pPr>
        <w:spacing w:before="0" w:after="40"/>
      </w:pPr>
      <w:r>
        <w:t xml:space="preserve"/>
      </w:r>
    </w:p>
    <w:tbl>
      <w:tblPr>
        <w:tblW w:type="dxa" w:w="9360"/>
        <w:tblBorders>
          <w:top w:val="single" w:color="1B3A5C" w:sz="6"/>
          <w:left w:val="single" w:color="1B3A5C" w:sz="6"/>
          <w:bottom w:val="single" w:color="1B3A5C" w:sz="6"/>
          <w:right w:val="single" w:color="1B3A5C" w:sz="6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Mar>
              <w:top w:type="dxa" w:w="240"/>
              <w:left w:type="dxa" w:w="360"/>
              <w:bottom w:type="dxa" w:w="240"/>
              <w:right w:type="dxa" w:w="360"/>
            </w:tcMar>
          </w:tcPr>
          <w:p>
            <w:pPr>
              <w:spacing w:before="0"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3A5C"/>
                <w:spacing w:val="40"/>
                <w:sz w:val="24"/>
                <w:szCs w:val="24"/>
              </w:rPr>
              <w:t xml:space="preserve">TRIGGER</w:t>
            </w:r>
          </w:p>
          <w:p>
            <w:pPr>
              <w:spacing w:before="0" w:after="60"/>
              <w:jc w:val="center"/>
            </w:pPr>
            <w:r>
              <w:rPr>
                <w:rFonts w:ascii="Calibri" w:cs="Calibri" w:eastAsia="Calibri" w:hAnsi="Calibri"/>
                <w:color w:val="2A7F7F"/>
                <w:sz w:val="20"/>
                <w:szCs w:val="20"/>
              </w:rPr>
              <w:t xml:space="preserve">▼</w:t>
            </w:r>
          </w:p>
          <w:p>
            <w:pPr>
              <w:spacing w:before="0" w:after="4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3A5C"/>
                <w:spacing w:val="40"/>
                <w:sz w:val="24"/>
                <w:szCs w:val="24"/>
              </w:rPr>
              <w:t xml:space="preserve">SELF-DOUBT THOUGHT</w:t>
            </w:r>
          </w:p>
          <w:p>
            <w:pPr>
              <w:spacing w:before="0" w:after="60"/>
              <w:jc w:val="center"/>
            </w:pPr>
            <w:r>
              <w:rPr>
                <w:rFonts w:ascii="Georgia" w:cs="Georgia" w:eastAsia="Georgia" w:hAnsi="Georgia"/>
                <w:i/>
                <w:iCs/>
                <w:color w:val="555555"/>
                <w:sz w:val="22"/>
                <w:szCs w:val="22"/>
              </w:rPr>
              <w:t xml:space="preserve">‘I’m not qualified / capable / ready for this’</w:t>
            </w:r>
          </w:p>
          <w:p>
            <w:pPr>
              <w:spacing w:before="0" w:after="60"/>
              <w:jc w:val="center"/>
            </w:pPr>
            <w:r>
              <w:rPr>
                <w:rFonts w:ascii="Calibri" w:cs="Calibri" w:eastAsia="Calibri" w:hAnsi="Calibri"/>
                <w:color w:val="2A7F7F"/>
                <w:sz w:val="20"/>
                <w:szCs w:val="20"/>
              </w:rPr>
              <w:t xml:space="preserve">▼</w:t>
            </w:r>
          </w:p>
          <w:p>
            <w:pPr>
              <w:spacing w:before="0" w:after="4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3A5C"/>
                <w:spacing w:val="40"/>
                <w:sz w:val="24"/>
                <w:szCs w:val="24"/>
              </w:rPr>
              <w:t xml:space="preserve">AVOIDANCE OR OVER-COMPENSATION</w:t>
            </w:r>
          </w:p>
          <w:p>
            <w:pPr>
              <w:spacing w:before="0" w:after="60"/>
              <w:jc w:val="center"/>
            </w:pPr>
            <w:r>
              <w:rPr>
                <w:rFonts w:ascii="Georgia" w:cs="Georgia" w:eastAsia="Georgia" w:hAnsi="Georgia"/>
                <w:i/>
                <w:iCs/>
                <w:color w:val="555555"/>
                <w:sz w:val="20"/>
                <w:szCs w:val="20"/>
              </w:rPr>
              <w:t xml:space="preserve">Stay quiet  |  Over-prepare  |  Seek reassurance  |  Over-deliver  |  Delay</w:t>
            </w:r>
          </w:p>
          <w:p>
            <w:pPr>
              <w:spacing w:before="0" w:after="60"/>
              <w:jc w:val="center"/>
            </w:pPr>
            <w:r>
              <w:rPr>
                <w:rFonts w:ascii="Calibri" w:cs="Calibri" w:eastAsia="Calibri" w:hAnsi="Calibri"/>
                <w:color w:val="2A7F7F"/>
                <w:sz w:val="20"/>
                <w:szCs w:val="20"/>
              </w:rPr>
              <w:t xml:space="preserve">▼</w:t>
            </w:r>
          </w:p>
          <w:p>
            <w:pPr>
              <w:spacing w:before="0" w:after="4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3A5C"/>
                <w:spacing w:val="40"/>
                <w:sz w:val="24"/>
                <w:szCs w:val="24"/>
              </w:rPr>
              <w:t xml:space="preserve">TEMPORARY RELIEF</w:t>
            </w:r>
          </w:p>
          <w:p>
            <w:pPr>
              <w:spacing w:before="0" w:after="60"/>
              <w:jc w:val="center"/>
            </w:pPr>
            <w:r>
              <w:rPr>
                <w:rFonts w:ascii="Georgia" w:cs="Georgia" w:eastAsia="Georgia" w:hAnsi="Georgia"/>
                <w:i/>
                <w:iCs/>
                <w:color w:val="555555"/>
                <w:sz w:val="20"/>
                <w:szCs w:val="20"/>
              </w:rPr>
              <w:t xml:space="preserve">Immediate discomfort reduces</w:t>
            </w:r>
          </w:p>
          <w:p>
            <w:pPr>
              <w:spacing w:before="0" w:after="60"/>
              <w:jc w:val="center"/>
            </w:pPr>
            <w:r>
              <w:rPr>
                <w:rFonts w:ascii="Calibri" w:cs="Calibri" w:eastAsia="Calibri" w:hAnsi="Calibri"/>
                <w:color w:val="2A7F7F"/>
                <w:sz w:val="20"/>
                <w:szCs w:val="20"/>
              </w:rPr>
              <w:t xml:space="preserve">▼</w:t>
            </w:r>
          </w:p>
          <w:p>
            <w:pPr>
              <w:spacing w:before="0" w:after="4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3A5C"/>
                <w:spacing w:val="40"/>
                <w:sz w:val="24"/>
                <w:szCs w:val="24"/>
              </w:rPr>
              <w:t xml:space="preserve">BELIEF REINFORCED</w:t>
            </w:r>
          </w:p>
          <w:p>
            <w:pPr>
              <w:spacing w:before="0" w:after="60"/>
              <w:jc w:val="center"/>
            </w:pPr>
            <w:r>
              <w:rPr>
                <w:rFonts w:ascii="Georgia" w:cs="Georgia" w:eastAsia="Georgia" w:hAnsi="Georgia"/>
                <w:i/>
                <w:iCs/>
                <w:color w:val="555555"/>
                <w:sz w:val="20"/>
                <w:szCs w:val="20"/>
              </w:rPr>
              <w:t xml:space="preserve">‘I was right — I couldn’t have managed it without the extra preparation’</w:t>
            </w:r>
          </w:p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C8703A"/>
                <w:spacing w:val="40"/>
                <w:sz w:val="22"/>
                <w:szCs w:val="22"/>
              </w:rPr>
              <w:t xml:space="preserve">↺ CYCLE REPEATS</w:t>
            </w:r>
          </w:p>
        </w:tc>
      </w:tr>
    </w:tbl>
    <w:p>
      <w:pPr>
        <w:spacing w:before="0" w:after="40"/>
      </w:pPr>
      <w:r>
        <w:t xml:space="preserve"/>
      </w:r>
    </w:p>
    <w:tbl>
      <w:tblPr>
        <w:tblW w:type="dxa" w:w="9360"/>
        <w:tblBorders>
          <w:top w:val="none"/>
          <w:left w:val="single" w:color="1B3A5C" w:sz="48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shd w:fill="EEF2F6" w:val="clear"/>
            <w:tcMar>
              <w:top w:type="dxa" w:w="180"/>
              <w:left w:type="dxa" w:w="340"/>
              <w:bottom w:type="dxa" w:w="180"/>
              <w:right w:type="dxa" w:w="280"/>
            </w:tcMar>
          </w:tcPr>
          <w:p>
            <w:pPr>
              <w:spacing w:before="240" w:after="100"/>
            </w:pPr>
            <w:r>
              <w:rPr>
                <w:rFonts w:ascii="Georgia" w:cs="Georgia" w:eastAsia="Georgia" w:hAnsi="Georgia"/>
                <w:b/>
                <w:bCs/>
                <w:color w:val="1B3A5C"/>
                <w:sz w:val="24"/>
                <w:szCs w:val="24"/>
              </w:rPr>
              <w:t xml:space="preserve">Why the Cycle is Self-Sustaining</w:t>
            </w:r>
          </w:p>
          <w:p>
            <w:pPr>
              <w:spacing w:before="0" w:after="180" w:line="340" w:lineRule="auto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2C2C2C"/>
                <w:sz w:val="22"/>
                <w:szCs w:val="22"/>
              </w:rPr>
              <w:t xml:space="preserve">The critical insight — for facilitators and participants alike — is that both avoidance and over-compensation prevent the person from receiving the evidence they need to disconfirm the imposter belief.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80"/>
            </w:pPr>
            <w:r>
              <w:rPr>
                <w:rFonts w:ascii="Georgia" w:cs="Georgia" w:eastAsia="Georgia" w:hAnsi="Georgia"/>
                <w:color w:val="2C2C2C"/>
                <w:sz w:val="22"/>
                <w:szCs w:val="22"/>
              </w:rPr>
              <w:t xml:space="preserve">If a participant stays quiet in a meeting, they never discover that their contribution would have been valuable.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80"/>
            </w:pPr>
            <w:r>
              <w:rPr>
                <w:rFonts w:ascii="Georgia" w:cs="Georgia" w:eastAsia="Georgia" w:hAnsi="Georgia"/>
                <w:color w:val="2C2C2C"/>
                <w:sz w:val="22"/>
                <w:szCs w:val="22"/>
              </w:rPr>
              <w:t xml:space="preserve">If a participant over-prepares until a presentation is ‘perfect’, they attribute the success to the preparation — not to their competence.</w:t>
            </w:r>
          </w:p>
          <w:p>
            <w:pPr>
              <w:spacing w:before="0" w:after="180" w:line="340" w:lineRule="auto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2C2C2C"/>
                <w:sz w:val="22"/>
                <w:szCs w:val="22"/>
              </w:rPr>
              <w:t xml:space="preserve">The imposter belief survives intact because the behaviour removes the conditions that would challenge it. This is the mechanism the Clear Mind Method™ is specifically designed to break.</w:t>
            </w:r>
          </w:p>
        </w:tc>
      </w:tr>
    </w:tbl>
    <w:p>
      <w:pPr>
        <w:spacing w:before="0" w:after="60"/>
      </w:pPr>
      <w:r>
        <w:t xml:space="preserve"/>
      </w:r>
    </w:p>
    <w:p>
      <w:pPr>
        <w:pBdr>
          <w:bottom w:val="single" w:color="D0D8E0" w:sz="4" w:space="1"/>
        </w:pBdr>
        <w:spacing w:before="0" w:after="200"/>
      </w:pPr>
      <w:r>
        <w:t xml:space="preserve"/>
      </w:r>
    </w:p>
    <w:p>
      <w:pPr>
        <w:spacing w:before="360" w:after="160"/>
      </w:pPr>
      <w:r>
        <w:rPr>
          <w:rFonts w:ascii="Calibri" w:cs="Calibri" w:eastAsia="Calibri" w:hAnsi="Calibri"/>
          <w:b/>
          <w:bCs/>
          <w:color w:val="1B3A5C"/>
          <w:spacing w:val="40"/>
          <w:sz w:val="22"/>
          <w:szCs w:val="22"/>
        </w:rPr>
        <w:t xml:space="preserve">THE CORE FRAMEWORK: THE CLEAR MIND METHOD™</w:t>
      </w:r>
    </w:p>
    <w:p>
      <w:pPr>
        <w:spacing w:before="0" w:after="180" w:line="340" w:lineRule="auto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2C2C2C"/>
          <w:sz w:val="22"/>
          <w:szCs w:val="22"/>
        </w:rPr>
        <w:t xml:space="preserve">The Clear Mind Method™ is the proprietary framework at the heart of this programme. Introduced in Session 2 and applied throughout Session 3, it provides a simple, memorable three-step process participants can use in real time — in the moment a self-doubt thought arises.</w:t>
      </w:r>
    </w:p>
    <w:p>
      <w:pPr>
        <w:spacing w:before="0" w:after="40"/>
      </w:pPr>
      <w: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1B3A5C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spacing w:before="0"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AADDDD"/>
                <w:spacing w:val="40"/>
                <w:sz w:val="16"/>
                <w:szCs w:val="16"/>
              </w:rPr>
              <w:t xml:space="preserve">STEP 1</w:t>
            </w:r>
          </w:p>
          <w:p>
            <w:pPr>
              <w:spacing w:before="0" w:after="14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6"/>
                <w:szCs w:val="36"/>
              </w:rPr>
              <w:t xml:space="preserve">NOTICE</w:t>
            </w:r>
          </w:p>
          <w:p>
            <w:pPr>
              <w:spacing w:before="0" w:after="0"/>
              <w:jc w:val="center"/>
            </w:pPr>
            <w:r>
              <w:rPr>
                <w:rFonts w:ascii="Georgia" w:cs="Georgia" w:eastAsia="Georgia" w:hAnsi="Georgia"/>
                <w:i/>
                <w:iCs/>
                <w:color w:val="FFFFFF"/>
                <w:sz w:val="19"/>
                <w:szCs w:val="19"/>
              </w:rPr>
              <w:t xml:space="preserve">Recognise the physical and cognitive signals that an imposter pattern is activating — before the thought becomes a fully-formed belief.</w:t>
            </w:r>
          </w:p>
        </w:tc>
        <w:tc>
          <w:tcPr>
            <w:tcW w:type="dxa" w:w="3120"/>
            <w:shd w:fill="2A7F7F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spacing w:before="0"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AADDDD"/>
                <w:spacing w:val="40"/>
                <w:sz w:val="16"/>
                <w:szCs w:val="16"/>
              </w:rPr>
              <w:t xml:space="preserve">STEP 2</w:t>
            </w:r>
          </w:p>
          <w:p>
            <w:pPr>
              <w:spacing w:before="0" w:after="14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6"/>
                <w:szCs w:val="36"/>
              </w:rPr>
              <w:t xml:space="preserve">NAME</w:t>
            </w:r>
          </w:p>
          <w:p>
            <w:pPr>
              <w:spacing w:before="0" w:after="0"/>
              <w:jc w:val="center"/>
            </w:pPr>
            <w:r>
              <w:rPr>
                <w:rFonts w:ascii="Georgia" w:cs="Georgia" w:eastAsia="Georgia" w:hAnsi="Georgia"/>
                <w:i/>
                <w:iCs/>
                <w:color w:val="FFFFFF"/>
                <w:sz w:val="19"/>
                <w:szCs w:val="19"/>
              </w:rPr>
              <w:t xml:space="preserve">Identify which of the five imposter patterns is at work. Naming the pattern separates it from reality — it becomes something you’re observing, not something you are.</w:t>
            </w:r>
          </w:p>
        </w:tc>
        <w:tc>
          <w:tcPr>
            <w:tcW w:type="dxa" w:w="3120"/>
            <w:shd w:fill="C8703A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spacing w:before="0"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3A5C"/>
                <w:spacing w:val="40"/>
                <w:sz w:val="16"/>
                <w:szCs w:val="16"/>
              </w:rPr>
              <w:t xml:space="preserve">STEP 3</w:t>
            </w:r>
          </w:p>
          <w:p>
            <w:pPr>
              <w:spacing w:before="0" w:after="14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6"/>
                <w:szCs w:val="36"/>
              </w:rPr>
              <w:t xml:space="preserve">REFRAME</w:t>
            </w:r>
          </w:p>
          <w:p>
            <w:pPr>
              <w:spacing w:before="0" w:after="0"/>
              <w:jc w:val="center"/>
            </w:pPr>
            <w:r>
              <w:rPr>
                <w:rFonts w:ascii="Georgia" w:cs="Georgia" w:eastAsia="Georgia" w:hAnsi="Georgia"/>
                <w:i/>
                <w:iCs/>
                <w:color w:val="FFFFFF"/>
                <w:sz w:val="19"/>
                <w:szCs w:val="19"/>
              </w:rPr>
              <w:t xml:space="preserve">Replace the imposter-driven interpretation with an evidence-based alternative grounded in your actual professional competence.</w:t>
            </w:r>
          </w:p>
        </w:tc>
      </w:tr>
    </w:tbl>
    <w:p>
      <w:pPr>
        <w:spacing w:before="0" w:after="40"/>
      </w:pPr>
      <w:r>
        <w:t xml:space="preserve"/>
      </w:r>
    </w:p>
    <w:tbl>
      <w:tblPr>
        <w:tblW w:type="dxa" w:w="9360"/>
        <w:tblBorders>
          <w:top w:val="none"/>
          <w:left w:val="single" w:color="2A7F7F" w:sz="48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shd w:fill="EAF4F4" w:val="clear"/>
            <w:tcMar>
              <w:top w:type="dxa" w:w="180"/>
              <w:left w:type="dxa" w:w="340"/>
              <w:bottom w:type="dxa" w:w="180"/>
              <w:right w:type="dxa" w:w="280"/>
            </w:tcMar>
          </w:tcPr>
          <w:p>
            <w:pPr>
              <w:spacing w:before="240" w:after="100"/>
            </w:pPr>
            <w:r>
              <w:rPr>
                <w:rFonts w:ascii="Georgia" w:cs="Georgia" w:eastAsia="Georgia" w:hAnsi="Georgia"/>
                <w:b/>
                <w:bCs/>
                <w:color w:val="2A7F7F"/>
                <w:sz w:val="24"/>
                <w:szCs w:val="24"/>
              </w:rPr>
              <w:t xml:space="preserve">Where the Clear Mind Method™ Intervenes in the Cycle</w:t>
            </w:r>
          </w:p>
          <w:tbl>
            <w:tblPr>
              <w:tblW w:type="dxa" w:w="8800"/>
              <w:tblBorders>
                <w:top w:val="none"/>
                <w:left w:val="none"/>
                <w:bottom w:val="none"/>
                <w:right w:val="none"/>
                <w:insideH w:val="single" w:color="auto" w:sz="4"/>
                <w:insideV w:val="single" w:color="auto" w:sz="4"/>
              </w:tblBorders>
            </w:tblPr>
            <w:tblGrid>
              <w:gridCol w:w="3400"/>
              <w:gridCol w:w="5400"/>
            </w:tblGrid>
            <w:tr>
              <w:tc>
                <w:tcPr>
                  <w:tcW w:type="dxa" w:w="3400"/>
                  <w:shd w:fill="2A7F7F" w:val="clear"/>
                  <w:tcMar>
                    <w:top w:type="dxa" w:w="80"/>
                    <w:left w:type="dxa" w:w="140"/>
                    <w:bottom w:type="dxa" w:w="80"/>
                    <w:right w:type="dxa" w:w="140"/>
                  </w:tcMar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20"/>
                      <w:szCs w:val="20"/>
                    </w:rPr>
                    <w:t xml:space="preserve">Intervention Point</w:t>
                  </w:r>
                </w:p>
              </w:tc>
              <w:tc>
                <w:tcPr>
                  <w:tcW w:type="dxa" w:w="5400"/>
                  <w:shd w:fill="2A7F7F" w:val="clear"/>
                  <w:tcMar>
                    <w:top w:type="dxa" w:w="80"/>
                    <w:left w:type="dxa" w:w="140"/>
                    <w:bottom w:type="dxa" w:w="80"/>
                    <w:right w:type="dxa" w:w="140"/>
                  </w:tcMar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20"/>
                      <w:szCs w:val="20"/>
                    </w:rPr>
                    <w:t xml:space="preserve">What the Method Does</w:t>
                  </w:r>
                </w:p>
              </w:tc>
            </w:tr>
            <w:tr>
              <w:tc>
                <w:tcPr>
                  <w:tcW w:type="dxa" w:w="3400"/>
                  <w:shd w:fill="F0F8F8" w:val="clear"/>
                  <w:tcMar>
                    <w:top w:type="dxa" w:w="80"/>
                    <w:left w:type="dxa" w:w="140"/>
                    <w:bottom w:type="dxa" w:w="80"/>
                    <w:right w:type="dxa" w:w="140"/>
                  </w:tcMar>
                </w:tcPr>
                <w:p>
                  <w:r>
                    <w:rPr>
                      <w:rFonts w:ascii="Georgia" w:cs="Georgia" w:eastAsia="Georgia" w:hAnsi="Georgia"/>
                      <w:b/>
                      <w:bCs/>
                      <w:color w:val="1B3A5C"/>
                      <w:sz w:val="20"/>
                      <w:szCs w:val="20"/>
                    </w:rPr>
                    <w:t xml:space="preserve">Between TRIGGER and SELF-DOUBT THOUGHT</w:t>
                  </w:r>
                </w:p>
              </w:tc>
              <w:tc>
                <w:tcPr>
                  <w:tcW w:type="dxa" w:w="5400"/>
                  <w:shd w:fill="F0F8F8" w:val="clear"/>
                  <w:tcMar>
                    <w:top w:type="dxa" w:w="80"/>
                    <w:left w:type="dxa" w:w="140"/>
                    <w:bottom w:type="dxa" w:w="80"/>
                    <w:right w:type="dxa" w:w="140"/>
                  </w:tcMar>
                </w:tcPr>
                <w:p>
                  <w:r>
                    <w:rPr>
                      <w:rFonts w:ascii="Georgia" w:cs="Georgia" w:eastAsia="Georgia" w:hAnsi="Georgia"/>
                      <w:color w:val="2C2C2C"/>
                      <w:sz w:val="20"/>
                      <w:szCs w:val="20"/>
                    </w:rPr>
                    <w:t xml:space="preserve">NOTICE: Participants learn to recognise the physical and cognitive signals that a pattern is activating — before the thought becomes a belief.</w:t>
                  </w:r>
                </w:p>
              </w:tc>
            </w:tr>
            <w:tr>
              <w:tc>
                <w:tcPr>
                  <w:tcW w:type="dxa" w:w="3400"/>
                  <w:shd w:fill="EAF4F4" w:val="clear"/>
                  <w:tcMar>
                    <w:top w:type="dxa" w:w="80"/>
                    <w:left w:type="dxa" w:w="140"/>
                    <w:bottom w:type="dxa" w:w="80"/>
                    <w:right w:type="dxa" w:w="140"/>
                  </w:tcMar>
                </w:tcPr>
                <w:p>
                  <w:r>
                    <w:rPr>
                      <w:rFonts w:ascii="Georgia" w:cs="Georgia" w:eastAsia="Georgia" w:hAnsi="Georgia"/>
                      <w:b/>
                      <w:bCs/>
                      <w:color w:val="1B3A5C"/>
                      <w:sz w:val="20"/>
                      <w:szCs w:val="20"/>
                    </w:rPr>
                    <w:t xml:space="preserve">Between SELF-DOUBT THOUGHT and BEHAVIOUR</w:t>
                  </w:r>
                </w:p>
              </w:tc>
              <w:tc>
                <w:tcPr>
                  <w:tcW w:type="dxa" w:w="5400"/>
                  <w:shd w:fill="EAF4F4" w:val="clear"/>
                  <w:tcMar>
                    <w:top w:type="dxa" w:w="80"/>
                    <w:left w:type="dxa" w:w="140"/>
                    <w:bottom w:type="dxa" w:w="80"/>
                    <w:right w:type="dxa" w:w="140"/>
                  </w:tcMar>
                </w:tcPr>
                <w:p>
                  <w:r>
                    <w:rPr>
                      <w:rFonts w:ascii="Georgia" w:cs="Georgia" w:eastAsia="Georgia" w:hAnsi="Georgia"/>
                      <w:color w:val="2C2C2C"/>
                      <w:sz w:val="20"/>
                      <w:szCs w:val="20"/>
                    </w:rPr>
                    <w:t xml:space="preserve">NAME + REFRAME: By naming the pattern and replacing it with an evidence-based alternative, participants interrupt the thought before it drives avoidance or over-compensation.</w:t>
                  </w:r>
                </w:p>
              </w:tc>
            </w:tr>
          </w:tbl>
          <w:p/>
        </w:tc>
      </w:tr>
    </w:tbl>
    <w:p>
      <w:pPr>
        <w:spacing w:before="0" w:after="60"/>
      </w:pPr>
      <w:r>
        <w:t xml:space="preserve"/>
      </w:r>
    </w:p>
    <w:p>
      <w:pPr>
        <w:pBdr>
          <w:bottom w:val="single" w:color="D0D8E0" w:sz="4" w:space="1"/>
        </w:pBdr>
        <w:spacing w:before="0" w:after="200"/>
      </w:pPr>
      <w:r>
        <w:t xml:space="preserve"/>
      </w:r>
    </w:p>
    <w:p>
      <w:pPr>
        <w:spacing w:before="360" w:after="160"/>
      </w:pPr>
      <w:r>
        <w:rPr>
          <w:rFonts w:ascii="Calibri" w:cs="Calibri" w:eastAsia="Calibri" w:hAnsi="Calibri"/>
          <w:b/>
          <w:bCs/>
          <w:color w:val="1B3A5C"/>
          <w:spacing w:val="40"/>
          <w:sz w:val="22"/>
          <w:szCs w:val="22"/>
        </w:rPr>
        <w:t xml:space="preserve">THE FIVE IMPOSTER PATTERNS</w:t>
      </w:r>
    </w:p>
    <w:p>
      <w:pPr>
        <w:spacing w:before="0" w:after="180" w:line="340" w:lineRule="auto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2C2C2C"/>
          <w:sz w:val="22"/>
          <w:szCs w:val="22"/>
        </w:rPr>
        <w:t xml:space="preserve">The programme introduces five distinct imposter patterns in Session 1. Participants identify their dominant pattern early — giving them a specific, named framework to work with rather than a generic concept of ‘imposter syndrome’.</w:t>
      </w:r>
    </w:p>
    <w:p>
      <w:pPr>
        <w:spacing w:before="0" w:after="40"/>
      </w:pPr>
      <w:r>
        <w:t xml:space="preserve"/>
      </w:r>
    </w:p>
    <w:tbl>
      <w:tblPr>
        <w:tblW w:type="dxa" w:w="9360"/>
        <w:tblBorders>
          <w:top w:val="single" w:color="D0D8E0" w:sz="4"/>
          <w:left w:val="none"/>
          <w:bottom w:val="single" w:color="D0D8E0" w:sz="4"/>
          <w:right w:val="none"/>
          <w:insideH w:val="single" w:color="auto" w:sz="4"/>
          <w:insideV w:val="single" w:color="auto" w:sz="4"/>
        </w:tblBorders>
      </w:tblPr>
      <w:tblGrid>
        <w:gridCol w:w="1800"/>
        <w:gridCol w:w="2000"/>
        <w:gridCol w:w="2880"/>
        <w:gridCol w:w="2680"/>
      </w:tblGrid>
      <w:tr>
        <w:tc>
          <w:tcPr>
            <w:tcW w:type="dxa" w:w="1800"/>
            <w:shd w:fill="1B3A5C" w:val="clear"/>
            <w:tcMar>
              <w:top w:type="dxa" w:w="100"/>
              <w:left w:type="dxa" w:w="14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Pattern</w:t>
            </w:r>
          </w:p>
        </w:tc>
        <w:tc>
          <w:tcPr>
            <w:tcW w:type="dxa" w:w="2000"/>
            <w:shd w:fill="1B3A5C" w:val="clear"/>
            <w:tcMar>
              <w:top w:type="dxa" w:w="100"/>
              <w:left w:type="dxa" w:w="14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Core Belief</w:t>
            </w:r>
          </w:p>
        </w:tc>
        <w:tc>
          <w:tcPr>
            <w:tcW w:type="dxa" w:w="2880"/>
            <w:shd w:fill="1B3A5C" w:val="clear"/>
            <w:tcMar>
              <w:top w:type="dxa" w:w="100"/>
              <w:left w:type="dxa" w:w="14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How It Appears at Work</w:t>
            </w:r>
          </w:p>
        </w:tc>
        <w:tc>
          <w:tcPr>
            <w:tcW w:type="dxa" w:w="2680"/>
            <w:shd w:fill="1B3A5C" w:val="clear"/>
            <w:tcMar>
              <w:top w:type="dxa" w:w="100"/>
              <w:left w:type="dxa" w:w="14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The Cost</w:t>
            </w:r>
          </w:p>
        </w:tc>
      </w:tr>
      <w:tr>
        <w:tc>
          <w:tcPr>
            <w:tcW w:type="dxa" w:w="1800"/>
            <w:shd w:fill="EAF4F4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THE PERFECTIONIST</w:t>
            </w:r>
          </w:p>
        </w:tc>
        <w:tc>
          <w:tcPr>
            <w:tcW w:type="dxa" w:w="2000"/>
            <w:shd w:fill="EAF4F4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Georgia" w:cs="Georgia" w:eastAsia="Georgia" w:hAnsi="Georgia"/>
                <w:i/>
                <w:iCs/>
                <w:color w:val="333333"/>
                <w:sz w:val="20"/>
                <w:szCs w:val="20"/>
              </w:rPr>
              <w:t xml:space="preserve">‘If it’s not perfect, I’ve failed’</w:t>
            </w:r>
          </w:p>
        </w:tc>
        <w:tc>
          <w:tcPr>
            <w:tcW w:type="dxa" w:w="2880"/>
            <w:shd w:fill="EAF4F4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Standards never quite met. Delays completion. Rewrites, refines, and second-guesses finished work.</w:t>
            </w:r>
          </w:p>
        </w:tc>
        <w:tc>
          <w:tcPr>
            <w:tcW w:type="dxa" w:w="2680"/>
            <w:shd w:fill="EAF4F4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Missed deadlines, exhaustion from impossible standards, chronic sense of falling short</w:t>
            </w:r>
          </w:p>
        </w:tc>
      </w:tr>
      <w:tr>
        <w:tc>
          <w:tcPr>
            <w:tcW w:type="dxa" w:w="1800"/>
            <w:shd w:fill="EEF2F6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THE EXPERT</w:t>
            </w:r>
          </w:p>
        </w:tc>
        <w:tc>
          <w:tcPr>
            <w:tcW w:type="dxa" w:w="2000"/>
            <w:shd w:fill="EEF2F6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Georgia" w:cs="Georgia" w:eastAsia="Georgia" w:hAnsi="Georgia"/>
                <w:i/>
                <w:iCs/>
                <w:color w:val="333333"/>
                <w:sz w:val="20"/>
                <w:szCs w:val="20"/>
              </w:rPr>
              <w:t xml:space="preserve">‘I need to know everything before I can act’</w:t>
            </w:r>
          </w:p>
        </w:tc>
        <w:tc>
          <w:tcPr>
            <w:tcW w:type="dxa" w:w="2880"/>
            <w:shd w:fill="EEF2F6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Stays quiet without complete information. Over-prepares. Reluctant to speak without certainty.</w:t>
            </w:r>
          </w:p>
        </w:tc>
        <w:tc>
          <w:tcPr>
            <w:tcW w:type="dxa" w:w="2680"/>
            <w:shd w:fill="EEF2F6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Contribution withheld, opportunities missed, over-preparation that consumes time without proportional return</w:t>
            </w:r>
          </w:p>
        </w:tc>
      </w:tr>
      <w:tr>
        <w:tc>
          <w:tcPr>
            <w:tcW w:type="dxa" w:w="1800"/>
            <w:shd w:fill="EAF4F4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THE NATURAL GENIUS</w:t>
            </w:r>
          </w:p>
        </w:tc>
        <w:tc>
          <w:tcPr>
            <w:tcW w:type="dxa" w:w="2000"/>
            <w:shd w:fill="EAF4F4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Georgia" w:cs="Georgia" w:eastAsia="Georgia" w:hAnsi="Georgia"/>
                <w:i/>
                <w:iCs/>
                <w:color w:val="333333"/>
                <w:sz w:val="20"/>
                <w:szCs w:val="20"/>
              </w:rPr>
              <w:t xml:space="preserve">‘If I have to work hard at it, I don’t have what it takes’</w:t>
            </w:r>
          </w:p>
        </w:tc>
        <w:tc>
          <w:tcPr>
            <w:tcW w:type="dxa" w:w="2880"/>
            <w:shd w:fill="EAF4F4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Avoids areas requiring visible effort. Hides how much work goes into results that look effortless.</w:t>
            </w:r>
          </w:p>
        </w:tc>
        <w:tc>
          <w:tcPr>
            <w:tcW w:type="dxa" w:w="2680"/>
            <w:shd w:fill="EAF4F4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Avoidance of entire development domains; inability to stretch into new areas without significant discomfort</w:t>
            </w:r>
          </w:p>
        </w:tc>
      </w:tr>
      <w:tr>
        <w:tc>
          <w:tcPr>
            <w:tcW w:type="dxa" w:w="1800"/>
            <w:shd w:fill="EEF2F6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THE SOLOIST</w:t>
            </w:r>
          </w:p>
        </w:tc>
        <w:tc>
          <w:tcPr>
            <w:tcW w:type="dxa" w:w="2000"/>
            <w:shd w:fill="EEF2F6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Georgia" w:cs="Georgia" w:eastAsia="Georgia" w:hAnsi="Georgia"/>
                <w:i/>
                <w:iCs/>
                <w:color w:val="333333"/>
                <w:sz w:val="20"/>
                <w:szCs w:val="20"/>
              </w:rPr>
              <w:t xml:space="preserve">‘Needing support means I’m not capable enough’</w:t>
            </w:r>
          </w:p>
        </w:tc>
        <w:tc>
          <w:tcPr>
            <w:tcW w:type="dxa" w:w="2880"/>
            <w:shd w:fill="EEF2F6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Resists collaboration. Reluctant to delegate or ask for help. Works independently to maintain appearance of full capability.</w:t>
            </w:r>
          </w:p>
        </w:tc>
        <w:tc>
          <w:tcPr>
            <w:tcW w:type="dxa" w:w="2680"/>
            <w:shd w:fill="EEF2F6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Unsustainable workload, missed opportunities, limited by solo capacity</w:t>
            </w:r>
          </w:p>
        </w:tc>
      </w:tr>
      <w:tr>
        <w:tc>
          <w:tcPr>
            <w:tcW w:type="dxa" w:w="1800"/>
            <w:shd w:fill="EAF4F4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THE SUPERHUMAN</w:t>
            </w:r>
          </w:p>
        </w:tc>
        <w:tc>
          <w:tcPr>
            <w:tcW w:type="dxa" w:w="2000"/>
            <w:shd w:fill="EAF4F4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Georgia" w:cs="Georgia" w:eastAsia="Georgia" w:hAnsi="Georgia"/>
                <w:i/>
                <w:iCs/>
                <w:color w:val="333333"/>
                <w:sz w:val="20"/>
                <w:szCs w:val="20"/>
              </w:rPr>
              <w:t xml:space="preserve">‘I must perform at the highest level in every area, simultaneously’</w:t>
            </w:r>
          </w:p>
        </w:tc>
        <w:tc>
          <w:tcPr>
            <w:tcW w:type="dxa" w:w="2880"/>
            <w:shd w:fill="EAF4F4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Takes on everything. Cannot say no. Equates worth with output and busyness.</w:t>
            </w:r>
          </w:p>
        </w:tc>
        <w:tc>
          <w:tcPr>
            <w:tcW w:type="dxa" w:w="2680"/>
            <w:shd w:fill="EAF4F4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top"/>
          </w:tcPr>
          <w:p>
            <w:r>
              <w:rPr>
                <w:rFonts w:ascii="Georgia" w:cs="Georgia" w:eastAsia="Georgia" w:hAnsi="Georgia"/>
                <w:color w:val="2C2C2C"/>
                <w:sz w:val="20"/>
                <w:szCs w:val="20"/>
              </w:rPr>
              <w:t xml:space="preserve">Burnout, exhaustion, declining quality across too many priorities</w:t>
            </w:r>
          </w:p>
        </w:tc>
      </w:tr>
    </w:tbl>
    <w:p>
      <w:pPr>
        <w:spacing w:before="0" w:after="60"/>
      </w:pPr>
      <w:r>
        <w:t xml:space="preserve"/>
      </w:r>
    </w:p>
    <w:p>
      <w:pPr>
        <w:pBdr>
          <w:bottom w:val="single" w:color="D0D8E0" w:sz="4" w:space="1"/>
        </w:pBdr>
        <w:spacing w:before="0" w:after="200"/>
      </w:pPr>
      <w:r>
        <w:t xml:space="preserve"/>
      </w:r>
    </w:p>
    <w:p>
      <w:pPr>
        <w:spacing w:before="360" w:after="160"/>
      </w:pPr>
      <w:r>
        <w:rPr>
          <w:rFonts w:ascii="Calibri" w:cs="Calibri" w:eastAsia="Calibri" w:hAnsi="Calibri"/>
          <w:b/>
          <w:bCs/>
          <w:color w:val="1B3A5C"/>
          <w:spacing w:val="40"/>
          <w:sz w:val="22"/>
          <w:szCs w:val="22"/>
        </w:rPr>
        <w:t xml:space="preserve">SAMPLE EXERCISE: THE CLEAR MIND METHOD™ IN PRACTICE</w:t>
      </w:r>
    </w:p>
    <w:p>
      <w:pPr>
        <w:spacing w:before="0" w:after="180" w:line="340" w:lineRule="auto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2C2C2C"/>
          <w:sz w:val="22"/>
          <w:szCs w:val="22"/>
        </w:rPr>
        <w:t xml:space="preserve">The following is Exercise 2.2 from the Participant Workbook — drawn from Session 2: Interrupt the Cycle. It shows how participants apply the Clear Mind Method™ to their own real professional situations.</w:t>
      </w:r>
    </w:p>
    <w:p>
      <w:pPr>
        <w:spacing w:before="0" w:after="40"/>
      </w:pPr>
      <w:r>
        <w:t xml:space="preserve"/>
      </w:r>
    </w:p>
    <w:tbl>
      <w:tblPr>
        <w:tblW w:type="dxa" w:w="9360"/>
        <w:tblBorders>
          <w:top w:val="none"/>
          <w:left w:val="single" w:color="C8703A" w:sz="48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shd w:fill="FDF3EC" w:val="clear"/>
            <w:tcMar>
              <w:top w:type="dxa" w:w="180"/>
              <w:left w:type="dxa" w:w="340"/>
              <w:bottom w:type="dxa" w:w="180"/>
              <w:right w:type="dxa" w:w="28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C8703A"/>
                <w:spacing w:val="40"/>
                <w:sz w:val="18"/>
                <w:szCs w:val="18"/>
              </w:rPr>
              <w:t xml:space="preserve">EXERCISE 2.2</w:t>
            </w:r>
          </w:p>
          <w:p>
            <w:pPr>
              <w:spacing w:before="0" w:after="80"/>
            </w:pPr>
            <w:r>
              <w:rPr>
                <w:rFonts w:ascii="Georgia" w:cs="Georgia" w:eastAsia="Georgia" w:hAnsi="Georgia"/>
                <w:b/>
                <w:bCs/>
                <w:color w:val="1B3A5C"/>
                <w:sz w:val="26"/>
                <w:szCs w:val="26"/>
              </w:rPr>
              <w:t xml:space="preserve">Applying the Clear Mind Method™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Session 2  |  Individual reflection (8–10 minutes), then pairs</w:t>
            </w:r>
          </w:p>
        </w:tc>
      </w:tr>
    </w:tbl>
    <w:p>
      <w:pPr>
        <w:spacing w:before="0" w:after="40"/>
      </w:pPr>
      <w:r>
        <w:t xml:space="preserve"/>
      </w:r>
    </w:p>
    <w:p>
      <w:pPr>
        <w:spacing w:before="0" w:after="180" w:line="340" w:lineRule="auto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2C2C2C"/>
          <w:sz w:val="22"/>
          <w:szCs w:val="22"/>
        </w:rPr>
        <w:t xml:space="preserve">Think of a recent professional situation where you noticed self-doubt, imposter thinking, or a pull towards avoidance or over-compensation. Use the framework below to work through it using the Clear Mind Method™.</w:t>
      </w:r>
    </w:p>
    <w:p>
      <w:pPr>
        <w:spacing w:before="0" w:after="40"/>
      </w:pPr>
      <w:r>
        <w:t xml:space="preserve"/>
      </w:r>
    </w:p>
    <w:tbl>
      <w:tblPr>
        <w:tblW w:type="dxa" w:w="9360"/>
        <w:tblBorders>
          <w:top w:val="single" w:color="D0D8E0" w:sz="4"/>
          <w:left w:val="none"/>
          <w:bottom w:val="single" w:color="D0D8E0" w:sz="4"/>
          <w:right w:val="none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shd w:fill="EEF2F6" w:val="clear"/>
            <w:tcMar>
              <w:top w:type="dxa" w:w="120"/>
              <w:left w:type="dxa" w:w="140"/>
              <w:bottom w:type="dxa" w:w="120"/>
              <w:right w:type="dxa" w:w="14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The situation</w:t>
            </w:r>
          </w:p>
        </w:tc>
        <w:tc>
          <w:tcPr>
            <w:tcW w:type="dxa" w:w="7160"/>
            <w:tcMar>
              <w:top w:type="dxa" w:w="120"/>
              <w:left w:type="dxa" w:w="180"/>
              <w:bottom w:type="dxa" w:w="240"/>
              <w:right w:type="dxa" w:w="140"/>
            </w:tcMar>
            <w:vAlign w:val="top"/>
          </w:tcPr>
          <w:p>
            <w:pPr>
              <w:spacing w:before="0" w:after="80"/>
            </w:pPr>
            <w:r>
              <w:rPr>
                <w:rFonts w:ascii="Georgia" w:cs="Georgia" w:eastAsia="Georgia" w:hAnsi="Georgia"/>
                <w:i/>
                <w:iCs/>
                <w:color w:val="555555"/>
                <w:sz w:val="20"/>
                <w:szCs w:val="20"/>
              </w:rPr>
              <w:t xml:space="preserve">Briefly describe the professional situation. What was happening? What was at stake?</w:t>
            </w:r>
          </w:p>
          <w:p>
            <w:pPr>
              <w:pBdr>
                <w:bottom w:val="single" w:color="D0D8E0" w:sz="2"/>
              </w:pBdr>
              <w:spacing w:before="0" w:after="0"/>
            </w:pPr>
            <w:r>
              <w:rPr>
                <w:rFonts w:ascii="Georgia" w:cs="Georgia" w:eastAsia="Georgia" w:hAnsi="Georgia"/>
                <w:sz w:val="22"/>
                <w:szCs w:val="22"/>
              </w:rPr>
              <w:t xml:space="preserve"> </w:t>
            </w:r>
          </w:p>
        </w:tc>
      </w:tr>
      <w:tr>
        <w:tc>
          <w:tcPr>
            <w:tcW w:type="dxa" w:w="2200"/>
            <w:shd w:fill="EAF4F4" w:val="clear"/>
            <w:tcMar>
              <w:top w:type="dxa" w:w="120"/>
              <w:left w:type="dxa" w:w="140"/>
              <w:bottom w:type="dxa" w:w="120"/>
              <w:right w:type="dxa" w:w="14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The trigger</w:t>
            </w:r>
          </w:p>
        </w:tc>
        <w:tc>
          <w:tcPr>
            <w:tcW w:type="dxa" w:w="7160"/>
            <w:tcMar>
              <w:top w:type="dxa" w:w="120"/>
              <w:left w:type="dxa" w:w="180"/>
              <w:bottom w:type="dxa" w:w="240"/>
              <w:right w:type="dxa" w:w="140"/>
            </w:tcMar>
            <w:vAlign w:val="top"/>
          </w:tcPr>
          <w:p>
            <w:pPr>
              <w:spacing w:before="0" w:after="80"/>
            </w:pPr>
            <w:r>
              <w:rPr>
                <w:rFonts w:ascii="Georgia" w:cs="Georgia" w:eastAsia="Georgia" w:hAnsi="Georgia"/>
                <w:i/>
                <w:iCs/>
                <w:color w:val="555555"/>
                <w:sz w:val="20"/>
                <w:szCs w:val="20"/>
              </w:rPr>
              <w:t xml:space="preserve">What specifically triggered the self-doubt? A person, a task, a moment in a meeting, a piece of feedback?</w:t>
            </w:r>
          </w:p>
          <w:p>
            <w:pPr>
              <w:pBdr>
                <w:bottom w:val="single" w:color="D0D8E0" w:sz="2"/>
              </w:pBdr>
              <w:spacing w:before="0" w:after="0"/>
            </w:pPr>
            <w:r>
              <w:rPr>
                <w:rFonts w:ascii="Georgia" w:cs="Georgia" w:eastAsia="Georgia" w:hAnsi="Georgia"/>
                <w:sz w:val="22"/>
                <w:szCs w:val="22"/>
              </w:rPr>
              <w:t xml:space="preserve"> </w:t>
            </w:r>
          </w:p>
        </w:tc>
      </w:tr>
      <w:tr>
        <w:tc>
          <w:tcPr>
            <w:tcW w:type="dxa" w:w="2200"/>
            <w:shd w:fill="EEF2F6" w:val="clear"/>
            <w:tcMar>
              <w:top w:type="dxa" w:w="120"/>
              <w:left w:type="dxa" w:w="140"/>
              <w:bottom w:type="dxa" w:w="120"/>
              <w:right w:type="dxa" w:w="14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Step 1: NOTICE</w:t>
            </w:r>
          </w:p>
        </w:tc>
        <w:tc>
          <w:tcPr>
            <w:tcW w:type="dxa" w:w="7160"/>
            <w:tcMar>
              <w:top w:type="dxa" w:w="120"/>
              <w:left w:type="dxa" w:w="180"/>
              <w:bottom w:type="dxa" w:w="240"/>
              <w:right w:type="dxa" w:w="140"/>
            </w:tcMar>
            <w:vAlign w:val="top"/>
          </w:tcPr>
          <w:p>
            <w:pPr>
              <w:spacing w:before="0" w:after="80"/>
            </w:pPr>
            <w:r>
              <w:rPr>
                <w:rFonts w:ascii="Georgia" w:cs="Georgia" w:eastAsia="Georgia" w:hAnsi="Georgia"/>
                <w:i/>
                <w:iCs/>
                <w:color w:val="555555"/>
                <w:sz w:val="20"/>
                <w:szCs w:val="20"/>
              </w:rPr>
              <w:t xml:space="preserve">What did you notice in your body or thinking that told you an imposter pattern was activating?</w:t>
            </w:r>
          </w:p>
          <w:p>
            <w:pPr>
              <w:pBdr>
                <w:bottom w:val="single" w:color="D0D8E0" w:sz="2"/>
              </w:pBdr>
              <w:spacing w:before="0" w:after="0"/>
            </w:pPr>
            <w:r>
              <w:rPr>
                <w:rFonts w:ascii="Georgia" w:cs="Georgia" w:eastAsia="Georgia" w:hAnsi="Georgia"/>
                <w:sz w:val="22"/>
                <w:szCs w:val="22"/>
              </w:rPr>
              <w:t xml:space="preserve"> </w:t>
            </w:r>
          </w:p>
        </w:tc>
      </w:tr>
      <w:tr>
        <w:tc>
          <w:tcPr>
            <w:tcW w:type="dxa" w:w="2200"/>
            <w:shd w:fill="EAF4F4" w:val="clear"/>
            <w:tcMar>
              <w:top w:type="dxa" w:w="120"/>
              <w:left w:type="dxa" w:w="140"/>
              <w:bottom w:type="dxa" w:w="120"/>
              <w:right w:type="dxa" w:w="14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Step 2: NAME</w:t>
            </w:r>
          </w:p>
        </w:tc>
        <w:tc>
          <w:tcPr>
            <w:tcW w:type="dxa" w:w="7160"/>
            <w:tcMar>
              <w:top w:type="dxa" w:w="120"/>
              <w:left w:type="dxa" w:w="180"/>
              <w:bottom w:type="dxa" w:w="240"/>
              <w:right w:type="dxa" w:w="140"/>
            </w:tcMar>
            <w:vAlign w:val="top"/>
          </w:tcPr>
          <w:p>
            <w:pPr>
              <w:spacing w:before="0" w:after="80"/>
            </w:pPr>
            <w:r>
              <w:rPr>
                <w:rFonts w:ascii="Georgia" w:cs="Georgia" w:eastAsia="Georgia" w:hAnsi="Georgia"/>
                <w:i/>
                <w:iCs/>
                <w:color w:val="555555"/>
                <w:sz w:val="20"/>
                <w:szCs w:val="20"/>
              </w:rPr>
              <w:t xml:space="preserve">Which of the five patterns was at work? Name it specifically.</w:t>
            </w:r>
          </w:p>
          <w:p>
            <w:pPr>
              <w:pBdr>
                <w:bottom w:val="single" w:color="D0D8E0" w:sz="2"/>
              </w:pBdr>
              <w:spacing w:before="0" w:after="0"/>
            </w:pPr>
            <w:r>
              <w:rPr>
                <w:rFonts w:ascii="Georgia" w:cs="Georgia" w:eastAsia="Georgia" w:hAnsi="Georgia"/>
                <w:sz w:val="22"/>
                <w:szCs w:val="22"/>
              </w:rPr>
              <w:t xml:space="preserve"> </w:t>
            </w:r>
          </w:p>
        </w:tc>
      </w:tr>
      <w:tr>
        <w:tc>
          <w:tcPr>
            <w:tcW w:type="dxa" w:w="2200"/>
            <w:shd w:fill="EEF2F6" w:val="clear"/>
            <w:tcMar>
              <w:top w:type="dxa" w:w="120"/>
              <w:left w:type="dxa" w:w="140"/>
              <w:bottom w:type="dxa" w:w="120"/>
              <w:right w:type="dxa" w:w="14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The imposter thought</w:t>
            </w:r>
          </w:p>
        </w:tc>
        <w:tc>
          <w:tcPr>
            <w:tcW w:type="dxa" w:w="7160"/>
            <w:tcMar>
              <w:top w:type="dxa" w:w="120"/>
              <w:left w:type="dxa" w:w="180"/>
              <w:bottom w:type="dxa" w:w="240"/>
              <w:right w:type="dxa" w:w="140"/>
            </w:tcMar>
            <w:vAlign w:val="top"/>
          </w:tcPr>
          <w:p>
            <w:pPr>
              <w:spacing w:before="0" w:after="80"/>
            </w:pPr>
            <w:r>
              <w:rPr>
                <w:rFonts w:ascii="Georgia" w:cs="Georgia" w:eastAsia="Georgia" w:hAnsi="Georgia"/>
                <w:i/>
                <w:iCs/>
                <w:color w:val="555555"/>
                <w:sz w:val="20"/>
                <w:szCs w:val="20"/>
              </w:rPr>
              <w:t xml:space="preserve">What was the exact thought or belief driving the self-doubt? Write it down as precisely as you can.</w:t>
            </w:r>
          </w:p>
          <w:p>
            <w:pPr>
              <w:pBdr>
                <w:bottom w:val="single" w:color="D0D8E0" w:sz="2"/>
              </w:pBdr>
              <w:spacing w:before="0" w:after="0"/>
            </w:pPr>
            <w:r>
              <w:rPr>
                <w:rFonts w:ascii="Georgia" w:cs="Georgia" w:eastAsia="Georgia" w:hAnsi="Georgia"/>
                <w:sz w:val="22"/>
                <w:szCs w:val="22"/>
              </w:rPr>
              <w:t xml:space="preserve"> </w:t>
            </w:r>
          </w:p>
        </w:tc>
      </w:tr>
      <w:tr>
        <w:tc>
          <w:tcPr>
            <w:tcW w:type="dxa" w:w="2200"/>
            <w:shd w:fill="EAF4F4" w:val="clear"/>
            <w:tcMar>
              <w:top w:type="dxa" w:w="120"/>
              <w:left w:type="dxa" w:w="140"/>
              <w:bottom w:type="dxa" w:w="120"/>
              <w:right w:type="dxa" w:w="14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Step 3: REFRAME</w:t>
            </w:r>
          </w:p>
        </w:tc>
        <w:tc>
          <w:tcPr>
            <w:tcW w:type="dxa" w:w="7160"/>
            <w:tcMar>
              <w:top w:type="dxa" w:w="120"/>
              <w:left w:type="dxa" w:w="180"/>
              <w:bottom w:type="dxa" w:w="240"/>
              <w:right w:type="dxa" w:w="140"/>
            </w:tcMar>
            <w:vAlign w:val="top"/>
          </w:tcPr>
          <w:p>
            <w:pPr>
              <w:spacing w:before="0" w:after="80"/>
            </w:pPr>
            <w:r>
              <w:rPr>
                <w:rFonts w:ascii="Georgia" w:cs="Georgia" w:eastAsia="Georgia" w:hAnsi="Georgia"/>
                <w:i/>
                <w:iCs/>
                <w:color w:val="555555"/>
                <w:sz w:val="20"/>
                <w:szCs w:val="20"/>
              </w:rPr>
              <w:t xml:space="preserve">What is a more accurate, evidence-based alternative to that thought? Ground it in specific evidence from your actual professional history.</w:t>
            </w:r>
          </w:p>
          <w:p>
            <w:pPr>
              <w:pBdr>
                <w:bottom w:val="single" w:color="D0D8E0" w:sz="2"/>
              </w:pBdr>
              <w:spacing w:before="0" w:after="0"/>
            </w:pPr>
            <w:r>
              <w:rPr>
                <w:rFonts w:ascii="Georgia" w:cs="Georgia" w:eastAsia="Georgia" w:hAnsi="Georgia"/>
                <w:sz w:val="22"/>
                <w:szCs w:val="22"/>
              </w:rPr>
              <w:t xml:space="preserve"> </w:t>
            </w:r>
          </w:p>
        </w:tc>
      </w:tr>
      <w:tr>
        <w:tc>
          <w:tcPr>
            <w:tcW w:type="dxa" w:w="2200"/>
            <w:shd w:fill="EEF2F6" w:val="clear"/>
            <w:tcMar>
              <w:top w:type="dxa" w:w="120"/>
              <w:left w:type="dxa" w:w="140"/>
              <w:bottom w:type="dxa" w:w="120"/>
              <w:right w:type="dxa" w:w="14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What changed?</w:t>
            </w:r>
          </w:p>
        </w:tc>
        <w:tc>
          <w:tcPr>
            <w:tcW w:type="dxa" w:w="7160"/>
            <w:tcMar>
              <w:top w:type="dxa" w:w="120"/>
              <w:left w:type="dxa" w:w="180"/>
              <w:bottom w:type="dxa" w:w="240"/>
              <w:right w:type="dxa" w:w="140"/>
            </w:tcMar>
            <w:vAlign w:val="top"/>
          </w:tcPr>
          <w:p>
            <w:pPr>
              <w:spacing w:before="0" w:after="80"/>
            </w:pPr>
            <w:r>
              <w:rPr>
                <w:rFonts w:ascii="Georgia" w:cs="Georgia" w:eastAsia="Georgia" w:hAnsi="Georgia"/>
                <w:i/>
                <w:iCs/>
                <w:color w:val="555555"/>
                <w:sz w:val="20"/>
                <w:szCs w:val="20"/>
              </w:rPr>
              <w:t xml:space="preserve">With the reframe in place, what might you do differently in this situation — or the next one like it?</w:t>
            </w:r>
          </w:p>
          <w:p>
            <w:pPr>
              <w:pBdr>
                <w:bottom w:val="single" w:color="D0D8E0" w:sz="2"/>
              </w:pBdr>
              <w:spacing w:before="0" w:after="0"/>
            </w:pPr>
            <w:r>
              <w:rPr>
                <w:rFonts w:ascii="Georgia" w:cs="Georgia" w:eastAsia="Georgia" w:hAnsi="Georgia"/>
                <w:sz w:val="22"/>
                <w:szCs w:val="22"/>
              </w:rPr>
              <w:t xml:space="preserve"> </w:t>
            </w:r>
          </w:p>
        </w:tc>
      </w:tr>
    </w:tbl>
    <w:p>
      <w:pPr>
        <w:spacing w:before="0" w:after="40"/>
      </w:pPr>
      <w:r>
        <w:t xml:space="preserve"/>
      </w:r>
    </w:p>
    <w:tbl>
      <w:tblPr>
        <w:tblW w:type="dxa" w:w="9360"/>
        <w:tblBorders>
          <w:top w:val="none"/>
          <w:left w:val="single" w:color="2A7F7F" w:sz="48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shd w:fill="EAF4F4" w:val="clear"/>
            <w:tcMar>
              <w:top w:type="dxa" w:w="180"/>
              <w:left w:type="dxa" w:w="340"/>
              <w:bottom w:type="dxa" w:w="180"/>
              <w:right w:type="dxa" w:w="28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2A7F7F"/>
                <w:sz w:val="18"/>
                <w:szCs w:val="18"/>
              </w:rPr>
              <w:t xml:space="preserve">Facilitator Note</w:t>
            </w:r>
          </w:p>
          <w:p>
            <w:pPr>
              <w:spacing w:before="0" w:after="180" w:line="340" w:lineRule="auto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2C2C2C"/>
                <w:sz w:val="22"/>
                <w:szCs w:val="22"/>
              </w:rPr>
              <w:t xml:space="preserve">After individual reflection, invite participants to share one insight with a partner — not the whole exercise, just the reframe they found most useful or most difficult. Bring the group back together for a brief debrief: what patterns came up most frequently? What made the reframe hard to find? Full sharing is always voluntary.</w:t>
            </w:r>
          </w:p>
        </w:tc>
      </w:tr>
    </w:tbl>
    <w:p>
      <w:pPr>
        <w:spacing w:before="0" w:after="60"/>
      </w:pPr>
      <w:r>
        <w:t xml:space="preserve"/>
      </w:r>
    </w:p>
    <w:p>
      <w:pPr>
        <w:pBdr>
          <w:bottom w:val="single" w:color="C8703A" w:sz="4" w:space="1"/>
        </w:pBdr>
        <w:spacing w:before="0" w:after="200"/>
      </w:pPr>
      <w:r>
        <w:t xml:space="preserve"/>
      </w:r>
    </w:p>
    <w:p>
      <w:pPr>
        <w:spacing w:before="0" w:after="40"/>
      </w:pPr>
      <w: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shd w:fill="1B3A5C" w:val="clear"/>
            <w:tcMar>
              <w:top w:type="dxa" w:w="320"/>
              <w:left w:type="dxa" w:w="460"/>
              <w:bottom w:type="dxa" w:w="320"/>
              <w:right w:type="dxa" w:w="460"/>
            </w:tcMar>
          </w:tcPr>
          <w:p>
            <w:pPr>
              <w:spacing w:before="0" w:after="12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This is one extract from one programme.</w:t>
            </w:r>
          </w:p>
          <w:p>
            <w:pPr>
              <w:spacing w:before="0" w:after="140"/>
              <w:jc w:val="center"/>
            </w:pPr>
            <w:r>
              <w:rPr>
                <w:rFonts w:ascii="Georgia" w:cs="Georgia" w:eastAsia="Georgia" w:hAnsi="Georgia"/>
                <w:i/>
                <w:iCs/>
                <w:color w:val="EAF4F4"/>
                <w:sz w:val="22"/>
                <w:szCs w:val="22"/>
              </w:rPr>
              <w:t xml:space="preserve">Licensed WCI Facilitators receive the complete suite — all 11 programmes, every manual, workbook, and slide deck.</w:t>
            </w:r>
          </w:p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C8703A"/>
                <w:spacing w:val="30"/>
                <w:sz w:val="24"/>
                <w:szCs w:val="24"/>
              </w:rPr>
              <w:t xml:space="preserve">[ SECURE YOUR PLACE — FOUNDING COHORT — 13TH APRIL ]</w:t>
            </w:r>
          </w:p>
        </w:tc>
      </w:tr>
    </w:tbl>
    <w:sectPr>
      <w:headerReference w:type="default" r:id="rId6"/>
      <w:footerReference w:type="default" r:id="rId7"/>
      <w:pgSz w:w="12240" w:h="15840" w:orient="portrait"/>
      <w:pgMar w:top="72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0D8E0" w:sz="4" w:space="1"/>
      </w:pBdr>
      <w:tabs>
        <w:tab w:val="right" w:pos="9026"/>
      </w:tabs>
      <w:spacing w:before="120"/>
    </w:pPr>
    <w:r>
      <w:rPr>
        <w:rFonts w:ascii="Calibri" w:cs="Calibri" w:eastAsia="Calibri" w:hAnsi="Calibri"/>
        <w:color w:val="2A7F7F"/>
        <w:sz w:val="16"/>
        <w:szCs w:val="16"/>
      </w:rPr>
      <w:t xml:space="preserve">workplacecurriculuminstitute.com</w:t>
    </w:r>
    <w:r>
      <w:rPr>
        <w:rFonts w:ascii="Calibri" w:cs="Calibri" w:eastAsia="Calibri" w:hAnsi="Calibri"/>
        <w:i/>
        <w:iCs/>
        <w:color w:val="888888"/>
        <w:sz w:val="16"/>
        <w:szCs w:val="16"/>
      </w:rPr>
      <w:t xml:space="preserve">	© The Workplace Curriculum Institute. Licensed program — not for reproduction.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080"/>
      <w:tblBorders>
        <w:top w:val="none"/>
        <w:left w:val="none"/>
        <w:bottom w:val="single" w:color="2A7F7F" w:sz="4"/>
        <w:right w:val="none"/>
        <w:insideH w:val="single" w:color="auto" w:sz="4"/>
        <w:insideV w:val="single" w:color="auto" w:sz="4"/>
      </w:tblBorders>
    </w:tblPr>
    <w:tblGrid>
      <w:gridCol w:w="5040"/>
      <w:gridCol w:w="5040"/>
    </w:tblGrid>
    <w:tr>
      <w:tc>
        <w:tcPr>
          <w:tcW w:type="dxa" w:w="5040"/>
          <w:tcMar>
            <w:top w:type="dxa" w:w="60"/>
            <w:left w:type="dxa" w:w="0"/>
            <w:bottom w:type="dxa" w:w="60"/>
            <w:right w:type="dxa" w:w="0"/>
          </w:tcMar>
        </w:tcPr>
        <w:p>
          <w:r>
            <w:rPr>
              <w:rFonts w:ascii="Calibri" w:cs="Calibri" w:eastAsia="Calibri" w:hAnsi="Calibri"/>
              <w:b/>
              <w:bCs/>
              <w:color w:val="1B3A5C"/>
              <w:spacing w:val="20"/>
              <w:sz w:val="16"/>
              <w:szCs w:val="16"/>
            </w:rPr>
            <w:t xml:space="preserve">WORKPLACE CURRICULUM INSTITUTE</w:t>
          </w:r>
        </w:p>
      </w:tc>
      <w:tc>
        <w:tcPr>
          <w:tcW w:type="dxa" w:w="5040"/>
          <w:tcMar>
            <w:top w:type="dxa" w:w="60"/>
            <w:left w:type="dxa" w:w="0"/>
            <w:bottom w:type="dxa" w:w="60"/>
            <w:right w:type="dxa" w:w="0"/>
          </w:tcMar>
        </w:tcPr>
        <w:p>
          <w:pPr>
            <w:jc w:val="right"/>
          </w:pPr>
          <w:r>
            <w:rPr>
              <w:rFonts w:ascii="Calibri" w:cs="Calibri" w:eastAsia="Calibri" w:hAnsi="Calibri"/>
              <w:color w:val="2A7F7F"/>
              <w:sz w:val="16"/>
              <w:szCs w:val="16"/>
            </w:rPr>
            <w:t xml:space="preserve">Breaking the Imposter Pattern  |  Sample Extract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2026-03-31T13:19:52.994Z</dcterms:created>
  <dcterms:modified xsi:type="dcterms:W3CDTF">2026-03-31T13:19:52.995Z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