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4E58" w14:textId="77777777" w:rsidR="005049A8" w:rsidRDefault="005049A8">
      <w:pPr>
        <w:pStyle w:val="Ttulo"/>
        <w:rPr>
          <w:lang w:val="es-CL"/>
        </w:rPr>
      </w:pPr>
    </w:p>
    <w:p w14:paraId="7BF57BF6" w14:textId="792F90DC" w:rsidR="005E45D1" w:rsidRPr="005049A8" w:rsidRDefault="00000000">
      <w:pPr>
        <w:pStyle w:val="Ttulo"/>
        <w:rPr>
          <w:lang w:val="es-CL"/>
        </w:rPr>
      </w:pPr>
      <w:r w:rsidRPr="005049A8">
        <w:rPr>
          <w:lang w:val="es-CL"/>
        </w:rPr>
        <w:t>Protocolo Familiar – Plantilla Editable</w:t>
      </w:r>
    </w:p>
    <w:p w14:paraId="543E22EC" w14:textId="77777777" w:rsidR="005049A8" w:rsidRDefault="005049A8">
      <w:pPr>
        <w:rPr>
          <w:lang w:val="es-CL"/>
        </w:rPr>
      </w:pPr>
    </w:p>
    <w:p w14:paraId="13A183BB" w14:textId="022B5A91" w:rsidR="005E45D1" w:rsidRPr="005049A8" w:rsidRDefault="00000000">
      <w:pPr>
        <w:rPr>
          <w:lang w:val="es-CL"/>
        </w:rPr>
      </w:pPr>
      <w:r w:rsidRPr="005049A8">
        <w:rPr>
          <w:lang w:val="es-CL"/>
        </w:rPr>
        <w:t>Esta plantilla está diseñada para familias empresarias que desean alinear expectativas y establecer reglas claras para la convivencia entre la familia, la propiedad y la empresa. Un protocolo familiar bien estructurado permite prevenir conflictos, facilitar la sucesión y asegurar la continuidad del negocio en el largo plazo.</w:t>
      </w:r>
    </w:p>
    <w:p w14:paraId="089EFB75" w14:textId="77777777" w:rsidR="005049A8" w:rsidRDefault="005049A8">
      <w:pPr>
        <w:rPr>
          <w:lang w:val="es-CL"/>
        </w:rPr>
      </w:pPr>
    </w:p>
    <w:p w14:paraId="36475E0C" w14:textId="6ECEA50E" w:rsidR="005E45D1" w:rsidRPr="005049A8" w:rsidRDefault="00000000">
      <w:pPr>
        <w:rPr>
          <w:lang w:val="es-CL"/>
        </w:rPr>
      </w:pPr>
      <w:r w:rsidRPr="005049A8">
        <w:rPr>
          <w:lang w:val="es-CL"/>
        </w:rPr>
        <w:t>Cómo usarlo: Reúnan a los miembros familiares con participación en la empresa, completen cada sección de forma consensuada y, de ser posible, acompañados por un asesor externo. Al finalizar, todos los miembros deben firmar el documento.</w:t>
      </w:r>
    </w:p>
    <w:p w14:paraId="0A0FA6CF" w14:textId="77777777" w:rsidR="005049A8" w:rsidRPr="005049A8" w:rsidRDefault="005049A8">
      <w:pPr>
        <w:rPr>
          <w:lang w:val="es-CL"/>
        </w:rPr>
      </w:pPr>
    </w:p>
    <w:p w14:paraId="467D5D85" w14:textId="77777777" w:rsidR="005049A8" w:rsidRPr="005049A8" w:rsidRDefault="005049A8">
      <w:pPr>
        <w:rPr>
          <w:lang w:val="es-CL"/>
        </w:rPr>
      </w:pPr>
    </w:p>
    <w:p w14:paraId="1A0ADC81" w14:textId="77777777" w:rsidR="005049A8" w:rsidRDefault="005049A8">
      <w:pPr>
        <w:rPr>
          <w:lang w:val="es-CL"/>
        </w:rPr>
      </w:pPr>
    </w:p>
    <w:p w14:paraId="51C88050" w14:textId="77777777" w:rsidR="005049A8" w:rsidRDefault="005049A8">
      <w:pPr>
        <w:rPr>
          <w:lang w:val="es-CL"/>
        </w:rPr>
      </w:pPr>
    </w:p>
    <w:p w14:paraId="5F0577AD" w14:textId="77777777" w:rsidR="005049A8" w:rsidRDefault="005049A8">
      <w:pPr>
        <w:rPr>
          <w:lang w:val="es-CL"/>
        </w:rPr>
      </w:pPr>
    </w:p>
    <w:p w14:paraId="28E2F64C" w14:textId="77777777" w:rsidR="005049A8" w:rsidRDefault="005049A8">
      <w:pPr>
        <w:rPr>
          <w:lang w:val="es-CL"/>
        </w:rPr>
      </w:pPr>
    </w:p>
    <w:p w14:paraId="3E9AAA28" w14:textId="77777777" w:rsidR="005049A8" w:rsidRDefault="005049A8">
      <w:pPr>
        <w:rPr>
          <w:lang w:val="es-CL"/>
        </w:rPr>
      </w:pPr>
    </w:p>
    <w:p w14:paraId="6C1CE75A" w14:textId="77777777" w:rsidR="005049A8" w:rsidRDefault="005049A8">
      <w:pPr>
        <w:rPr>
          <w:lang w:val="es-CL"/>
        </w:rPr>
      </w:pPr>
    </w:p>
    <w:p w14:paraId="24791FF4" w14:textId="77777777" w:rsidR="005049A8" w:rsidRDefault="005049A8">
      <w:pPr>
        <w:rPr>
          <w:lang w:val="es-CL"/>
        </w:rPr>
      </w:pPr>
    </w:p>
    <w:p w14:paraId="7FF96E4D" w14:textId="77777777" w:rsidR="005049A8" w:rsidRDefault="005049A8">
      <w:pPr>
        <w:rPr>
          <w:lang w:val="es-CL"/>
        </w:rPr>
      </w:pPr>
    </w:p>
    <w:p w14:paraId="09B75E09" w14:textId="77777777" w:rsidR="005049A8" w:rsidRDefault="005049A8">
      <w:pPr>
        <w:rPr>
          <w:lang w:val="es-CL"/>
        </w:rPr>
      </w:pPr>
    </w:p>
    <w:p w14:paraId="26F4EBDF" w14:textId="77777777" w:rsidR="005049A8" w:rsidRDefault="005049A8">
      <w:pPr>
        <w:rPr>
          <w:lang w:val="es-CL"/>
        </w:rPr>
      </w:pPr>
    </w:p>
    <w:p w14:paraId="159AB6F9" w14:textId="77777777" w:rsidR="005049A8" w:rsidRDefault="005049A8">
      <w:pPr>
        <w:rPr>
          <w:lang w:val="es-CL"/>
        </w:rPr>
      </w:pPr>
    </w:p>
    <w:p w14:paraId="64E639FD" w14:textId="77777777" w:rsidR="005049A8" w:rsidRDefault="005049A8">
      <w:pPr>
        <w:rPr>
          <w:lang w:val="es-CL"/>
        </w:rPr>
      </w:pPr>
    </w:p>
    <w:p w14:paraId="42327812" w14:textId="77777777" w:rsidR="005049A8" w:rsidRDefault="005049A8">
      <w:pPr>
        <w:rPr>
          <w:lang w:val="es-CL"/>
        </w:rPr>
      </w:pPr>
    </w:p>
    <w:p w14:paraId="6AEFC647" w14:textId="207BF6ED" w:rsidR="005049A8" w:rsidRDefault="00000000">
      <w:pPr>
        <w:rPr>
          <w:lang w:val="es-CL"/>
        </w:rPr>
      </w:pPr>
      <w:r w:rsidRPr="005049A8">
        <w:rPr>
          <w:lang w:val="es-CL"/>
        </w:rPr>
        <w:lastRenderedPageBreak/>
        <w:t>⚠</w:t>
      </w:r>
      <w:r>
        <w:t>️</w:t>
      </w:r>
      <w:r w:rsidRPr="005049A8">
        <w:rPr>
          <w:lang w:val="es-CL"/>
        </w:rPr>
        <w:t xml:space="preserve"> </w:t>
      </w:r>
      <w:proofErr w:type="spellStart"/>
      <w:r w:rsidRPr="005049A8">
        <w:rPr>
          <w:lang w:val="es-CL"/>
        </w:rPr>
        <w:t>Disclaimer</w:t>
      </w:r>
      <w:proofErr w:type="spellEnd"/>
      <w:r w:rsidRPr="005049A8">
        <w:rPr>
          <w:lang w:val="es-CL"/>
        </w:rPr>
        <w:t>: Esta es una plantilla de referencia. No reemplaza asesoría legal, tributaria o de gobernanza. El autor no se hace responsable por el uso inadecuado del presente documento.</w:t>
      </w:r>
    </w:p>
    <w:p w14:paraId="61840335" w14:textId="77777777" w:rsidR="005E45D1" w:rsidRPr="005049A8" w:rsidRDefault="005E45D1">
      <w:pPr>
        <w:rPr>
          <w:lang w:val="es-CL"/>
        </w:rPr>
      </w:pPr>
    </w:p>
    <w:p w14:paraId="272FDAA2" w14:textId="77777777" w:rsidR="005E45D1" w:rsidRPr="005049A8" w:rsidRDefault="00000000">
      <w:pPr>
        <w:pStyle w:val="Ttulo1"/>
        <w:rPr>
          <w:lang w:val="es-CL"/>
        </w:rPr>
      </w:pPr>
      <w:r w:rsidRPr="005049A8">
        <w:rPr>
          <w:lang w:val="es-CL"/>
        </w:rPr>
        <w:t>1. Propósito y valores de la familia empresaria</w:t>
      </w:r>
    </w:p>
    <w:p w14:paraId="71E33072" w14:textId="77777777" w:rsidR="005E45D1" w:rsidRPr="005049A8" w:rsidRDefault="00000000">
      <w:pPr>
        <w:pStyle w:val="Listaconvietas"/>
        <w:rPr>
          <w:lang w:val="es-CL"/>
        </w:rPr>
      </w:pPr>
      <w:r w:rsidRPr="005049A8">
        <w:rPr>
          <w:lang w:val="es-CL"/>
        </w:rPr>
        <w:t>Declarar misión y visión familiar vinculada al negocio.</w:t>
      </w:r>
    </w:p>
    <w:p w14:paraId="33C67D13" w14:textId="77777777" w:rsidR="005E45D1" w:rsidRPr="005049A8" w:rsidRDefault="00000000">
      <w:pPr>
        <w:pStyle w:val="Listaconvietas"/>
        <w:rPr>
          <w:lang w:val="es-CL"/>
        </w:rPr>
      </w:pPr>
      <w:r w:rsidRPr="005049A8">
        <w:rPr>
          <w:lang w:val="es-CL"/>
        </w:rPr>
        <w:t>Definir valores compartidos que deben guiar decisiones empresariales y familiares.</w:t>
      </w:r>
    </w:p>
    <w:p w14:paraId="60B91EE3" w14:textId="77777777" w:rsidR="005E45D1" w:rsidRDefault="00000000">
      <w:pPr>
        <w:pStyle w:val="Ttulo1"/>
      </w:pPr>
      <w:r>
        <w:t>2. Estructura de gobernanza familiar</w:t>
      </w:r>
    </w:p>
    <w:p w14:paraId="38E2D444" w14:textId="77777777" w:rsidR="005E45D1" w:rsidRPr="005049A8" w:rsidRDefault="00000000">
      <w:pPr>
        <w:pStyle w:val="Listaconvietas"/>
        <w:rPr>
          <w:lang w:val="es-CL"/>
        </w:rPr>
      </w:pPr>
      <w:r w:rsidRPr="005049A8">
        <w:rPr>
          <w:lang w:val="es-CL"/>
        </w:rPr>
        <w:t>Definir creación de un Comité o Consejo de Familia.</w:t>
      </w:r>
    </w:p>
    <w:p w14:paraId="70F5FA75" w14:textId="77777777" w:rsidR="005E45D1" w:rsidRPr="005049A8" w:rsidRDefault="00000000">
      <w:pPr>
        <w:pStyle w:val="Listaconvietas"/>
        <w:rPr>
          <w:lang w:val="es-CL"/>
        </w:rPr>
      </w:pPr>
      <w:r w:rsidRPr="005049A8">
        <w:rPr>
          <w:lang w:val="es-CL"/>
        </w:rPr>
        <w:t>Frecuencia de reuniones, roles y responsabilidades.</w:t>
      </w:r>
    </w:p>
    <w:p w14:paraId="27965ED4" w14:textId="77777777" w:rsidR="005E45D1" w:rsidRPr="005049A8" w:rsidRDefault="00000000">
      <w:pPr>
        <w:pStyle w:val="Listaconvietas"/>
        <w:rPr>
          <w:lang w:val="es-CL"/>
        </w:rPr>
      </w:pPr>
      <w:r w:rsidRPr="005049A8">
        <w:rPr>
          <w:lang w:val="es-CL"/>
        </w:rPr>
        <w:t>Mecanismos de comunicación formal entre familia y empresa.</w:t>
      </w:r>
    </w:p>
    <w:p w14:paraId="4EC0BC50" w14:textId="77777777" w:rsidR="005E45D1" w:rsidRDefault="00000000">
      <w:pPr>
        <w:pStyle w:val="Ttulo1"/>
      </w:pPr>
      <w:r>
        <w:t>3. Participación en la empresa</w:t>
      </w:r>
    </w:p>
    <w:p w14:paraId="530525F9" w14:textId="77777777" w:rsidR="005E45D1" w:rsidRPr="005049A8" w:rsidRDefault="00000000">
      <w:pPr>
        <w:pStyle w:val="Listaconvietas"/>
        <w:rPr>
          <w:lang w:val="es-CL"/>
        </w:rPr>
      </w:pPr>
      <w:r w:rsidRPr="005049A8">
        <w:rPr>
          <w:lang w:val="es-CL"/>
        </w:rPr>
        <w:t>Criterios de ingreso de familiares al negocio (formación, experiencia previa, requisitos mínimos).</w:t>
      </w:r>
    </w:p>
    <w:p w14:paraId="078EA44B" w14:textId="77777777" w:rsidR="005E45D1" w:rsidRPr="005049A8" w:rsidRDefault="00000000">
      <w:pPr>
        <w:pStyle w:val="Listaconvietas"/>
        <w:rPr>
          <w:lang w:val="es-CL"/>
        </w:rPr>
      </w:pPr>
      <w:r w:rsidRPr="005049A8">
        <w:rPr>
          <w:lang w:val="es-CL"/>
        </w:rPr>
        <w:t>Política de remuneraciones y evaluaciones objetivas.</w:t>
      </w:r>
    </w:p>
    <w:p w14:paraId="064174C4" w14:textId="77777777" w:rsidR="005E45D1" w:rsidRPr="005049A8" w:rsidRDefault="00000000">
      <w:pPr>
        <w:pStyle w:val="Listaconvietas"/>
        <w:rPr>
          <w:lang w:val="es-CL"/>
        </w:rPr>
      </w:pPr>
      <w:r w:rsidRPr="005049A8">
        <w:rPr>
          <w:lang w:val="es-CL"/>
        </w:rPr>
        <w:t>Reglas para salida voluntaria o forzada de un miembro de la familia.</w:t>
      </w:r>
    </w:p>
    <w:p w14:paraId="18293A6E" w14:textId="77777777" w:rsidR="005E45D1" w:rsidRDefault="00000000">
      <w:pPr>
        <w:pStyle w:val="Ttulo1"/>
      </w:pPr>
      <w:r>
        <w:t>4. Propiedad y herencia</w:t>
      </w:r>
    </w:p>
    <w:p w14:paraId="00B33C6C" w14:textId="77777777" w:rsidR="005E45D1" w:rsidRPr="005049A8" w:rsidRDefault="00000000">
      <w:pPr>
        <w:pStyle w:val="Listaconvietas"/>
        <w:rPr>
          <w:lang w:val="es-CL"/>
        </w:rPr>
      </w:pPr>
      <w:r w:rsidRPr="005049A8">
        <w:rPr>
          <w:lang w:val="es-CL"/>
        </w:rPr>
        <w:t>Normas de transmisión de acciones/participaciones (venta, herencia, donación).</w:t>
      </w:r>
    </w:p>
    <w:p w14:paraId="7721A005" w14:textId="77777777" w:rsidR="005E45D1" w:rsidRPr="005049A8" w:rsidRDefault="00000000">
      <w:pPr>
        <w:pStyle w:val="Listaconvietas"/>
        <w:rPr>
          <w:lang w:val="es-CL"/>
        </w:rPr>
      </w:pPr>
      <w:r w:rsidRPr="005049A8">
        <w:rPr>
          <w:lang w:val="es-CL"/>
        </w:rPr>
        <w:t>Preferencia de compra entre familiares antes de vender a terceros.</w:t>
      </w:r>
    </w:p>
    <w:p w14:paraId="6004E723" w14:textId="77777777" w:rsidR="005E45D1" w:rsidRPr="005049A8" w:rsidRDefault="00000000">
      <w:pPr>
        <w:pStyle w:val="Listaconvietas"/>
        <w:rPr>
          <w:lang w:val="es-CL"/>
        </w:rPr>
      </w:pPr>
      <w:r w:rsidRPr="005049A8">
        <w:rPr>
          <w:lang w:val="es-CL"/>
        </w:rPr>
        <w:t>Políticas de liquidez para accionistas que deseen salir.</w:t>
      </w:r>
    </w:p>
    <w:p w14:paraId="372410BE" w14:textId="77777777" w:rsidR="005E45D1" w:rsidRDefault="00000000">
      <w:pPr>
        <w:pStyle w:val="Ttulo1"/>
      </w:pPr>
      <w:r>
        <w:t>5. Dividendos y reinversión</w:t>
      </w:r>
    </w:p>
    <w:p w14:paraId="7DA3197E" w14:textId="77777777" w:rsidR="005E45D1" w:rsidRPr="005049A8" w:rsidRDefault="00000000">
      <w:pPr>
        <w:pStyle w:val="Listaconvietas"/>
        <w:rPr>
          <w:lang w:val="es-CL"/>
        </w:rPr>
      </w:pPr>
      <w:r w:rsidRPr="005049A8">
        <w:rPr>
          <w:lang w:val="es-CL"/>
        </w:rPr>
        <w:t>Definir política clara de reparto de utilidades vs. reinversión.</w:t>
      </w:r>
    </w:p>
    <w:p w14:paraId="7515FA1F" w14:textId="77777777" w:rsidR="005E45D1" w:rsidRPr="005049A8" w:rsidRDefault="00000000">
      <w:pPr>
        <w:pStyle w:val="Listaconvietas"/>
        <w:rPr>
          <w:lang w:val="es-CL"/>
        </w:rPr>
      </w:pPr>
      <w:r w:rsidRPr="005049A8">
        <w:rPr>
          <w:lang w:val="es-CL"/>
        </w:rPr>
        <w:t>Reglas de transparencia financiera y acceso a información.</w:t>
      </w:r>
    </w:p>
    <w:p w14:paraId="67296122" w14:textId="77777777" w:rsidR="005E45D1" w:rsidRDefault="00000000">
      <w:pPr>
        <w:pStyle w:val="Ttulo1"/>
      </w:pPr>
      <w:r>
        <w:t>6. Sucesión y liderazgo</w:t>
      </w:r>
    </w:p>
    <w:p w14:paraId="39804884" w14:textId="77777777" w:rsidR="005E45D1" w:rsidRPr="005049A8" w:rsidRDefault="00000000">
      <w:pPr>
        <w:pStyle w:val="Listaconvietas"/>
        <w:rPr>
          <w:lang w:val="es-CL"/>
        </w:rPr>
      </w:pPr>
      <w:r w:rsidRPr="005049A8">
        <w:rPr>
          <w:lang w:val="es-CL"/>
        </w:rPr>
        <w:t>Criterios para elegir sucesor del CEO o cargos claves.</w:t>
      </w:r>
    </w:p>
    <w:p w14:paraId="096AD0C4" w14:textId="77777777" w:rsidR="005E45D1" w:rsidRPr="005049A8" w:rsidRDefault="00000000">
      <w:pPr>
        <w:pStyle w:val="Listaconvietas"/>
        <w:rPr>
          <w:lang w:val="es-CL"/>
        </w:rPr>
      </w:pPr>
      <w:r w:rsidRPr="005049A8">
        <w:rPr>
          <w:lang w:val="es-CL"/>
        </w:rPr>
        <w:t>Plan de formación y acompañamiento de la siguiente generación.</w:t>
      </w:r>
    </w:p>
    <w:p w14:paraId="61D79664" w14:textId="77777777" w:rsidR="005E45D1" w:rsidRPr="005049A8" w:rsidRDefault="00000000">
      <w:pPr>
        <w:pStyle w:val="Listaconvietas"/>
        <w:rPr>
          <w:lang w:val="es-CL"/>
        </w:rPr>
      </w:pPr>
      <w:r w:rsidRPr="005049A8">
        <w:rPr>
          <w:lang w:val="es-CL"/>
        </w:rPr>
        <w:t>Uso de asesores externos para evaluaciones objetivas.</w:t>
      </w:r>
    </w:p>
    <w:p w14:paraId="26B15418" w14:textId="77777777" w:rsidR="005E45D1" w:rsidRDefault="00000000">
      <w:pPr>
        <w:pStyle w:val="Ttulo1"/>
      </w:pPr>
      <w:r>
        <w:lastRenderedPageBreak/>
        <w:t>7. Resolución de conflictos</w:t>
      </w:r>
    </w:p>
    <w:p w14:paraId="7BF3E76B" w14:textId="77777777" w:rsidR="005E45D1" w:rsidRPr="005049A8" w:rsidRDefault="00000000">
      <w:pPr>
        <w:pStyle w:val="Listaconvietas"/>
        <w:rPr>
          <w:lang w:val="es-CL"/>
        </w:rPr>
      </w:pPr>
      <w:r w:rsidRPr="005049A8">
        <w:rPr>
          <w:lang w:val="es-CL"/>
        </w:rPr>
        <w:t>Mecanismos internos: mediación familiar, comité ad-hoc.</w:t>
      </w:r>
    </w:p>
    <w:p w14:paraId="5701F7BE" w14:textId="77777777" w:rsidR="005E45D1" w:rsidRPr="005049A8" w:rsidRDefault="00000000">
      <w:pPr>
        <w:pStyle w:val="Listaconvietas"/>
        <w:rPr>
          <w:lang w:val="es-CL"/>
        </w:rPr>
      </w:pPr>
      <w:r w:rsidRPr="005049A8">
        <w:rPr>
          <w:lang w:val="es-CL"/>
        </w:rPr>
        <w:t>Instancias externas: mediadores profesionales, arbitraje.</w:t>
      </w:r>
    </w:p>
    <w:p w14:paraId="018A283E" w14:textId="77777777" w:rsidR="005E45D1" w:rsidRPr="005049A8" w:rsidRDefault="00000000">
      <w:pPr>
        <w:pStyle w:val="Listaconvietas"/>
        <w:rPr>
          <w:lang w:val="es-CL"/>
        </w:rPr>
      </w:pPr>
      <w:r w:rsidRPr="005049A8">
        <w:rPr>
          <w:lang w:val="es-CL"/>
        </w:rPr>
        <w:t>Cláusula de resolución antes de recurrir a tribunales.</w:t>
      </w:r>
    </w:p>
    <w:p w14:paraId="2C367B70" w14:textId="77777777" w:rsidR="005E45D1" w:rsidRDefault="00000000">
      <w:pPr>
        <w:pStyle w:val="Ttulo1"/>
      </w:pPr>
      <w:r>
        <w:t>8. Firma y compromiso</w:t>
      </w:r>
    </w:p>
    <w:p w14:paraId="412A31E9" w14:textId="77777777" w:rsidR="005E45D1" w:rsidRPr="005049A8" w:rsidRDefault="00000000">
      <w:pPr>
        <w:pStyle w:val="Listaconvietas"/>
        <w:rPr>
          <w:lang w:val="es-CL"/>
        </w:rPr>
      </w:pPr>
      <w:r w:rsidRPr="005049A8">
        <w:rPr>
          <w:lang w:val="es-CL"/>
        </w:rPr>
        <w:t>Todos los miembros firman el protocolo.</w:t>
      </w:r>
    </w:p>
    <w:p w14:paraId="0AC97BCC" w14:textId="77777777" w:rsidR="005E45D1" w:rsidRPr="005049A8" w:rsidRDefault="00000000">
      <w:pPr>
        <w:pStyle w:val="Listaconvietas"/>
        <w:rPr>
          <w:lang w:val="es-CL"/>
        </w:rPr>
      </w:pPr>
      <w:r w:rsidRPr="005049A8">
        <w:rPr>
          <w:lang w:val="es-CL"/>
        </w:rPr>
        <w:t>Se acuerda revisión periódica (ej. cada 3 años).</w:t>
      </w:r>
    </w:p>
    <w:sectPr w:rsidR="005E45D1" w:rsidRPr="005049A8"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B5E1" w14:textId="77777777" w:rsidR="003A6854" w:rsidRDefault="003A6854" w:rsidP="005049A8">
      <w:pPr>
        <w:spacing w:after="0" w:line="240" w:lineRule="auto"/>
      </w:pPr>
      <w:r>
        <w:separator/>
      </w:r>
    </w:p>
  </w:endnote>
  <w:endnote w:type="continuationSeparator" w:id="0">
    <w:p w14:paraId="3CAF61A4" w14:textId="77777777" w:rsidR="003A6854" w:rsidRDefault="003A6854" w:rsidP="0050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B8B5" w14:textId="04755D43" w:rsidR="005049A8" w:rsidRPr="005049A8" w:rsidRDefault="005049A8">
    <w:pPr>
      <w:pStyle w:val="Piedepgina"/>
      <w:rPr>
        <w:color w:val="7F7F7F" w:themeColor="text1" w:themeTint="80"/>
        <w:lang w:val="es-ES_tradnl"/>
      </w:rPr>
    </w:pPr>
    <w:r w:rsidRPr="005049A8">
      <w:rPr>
        <w:noProof/>
        <w:color w:val="7F7F7F" w:themeColor="text1" w:themeTint="80"/>
        <w:lang w:val="es-ES_tradnl"/>
      </w:rPr>
      <mc:AlternateContent>
        <mc:Choice Requires="wps">
          <w:drawing>
            <wp:anchor distT="0" distB="0" distL="114300" distR="114300" simplePos="0" relativeHeight="251659264" behindDoc="0" locked="0" layoutInCell="1" allowOverlap="1" wp14:anchorId="0B199A82" wp14:editId="0007FA66">
              <wp:simplePos x="0" y="0"/>
              <wp:positionH relativeFrom="column">
                <wp:posOffset>-249555</wp:posOffset>
              </wp:positionH>
              <wp:positionV relativeFrom="paragraph">
                <wp:posOffset>-272171</wp:posOffset>
              </wp:positionV>
              <wp:extent cx="6133514" cy="0"/>
              <wp:effectExtent l="50800" t="38100" r="26035" b="76200"/>
              <wp:wrapNone/>
              <wp:docPr id="674729851" name="Conector recto 2"/>
              <wp:cNvGraphicFramePr/>
              <a:graphic xmlns:a="http://schemas.openxmlformats.org/drawingml/2006/main">
                <a:graphicData uri="http://schemas.microsoft.com/office/word/2010/wordprocessingShape">
                  <wps:wsp>
                    <wps:cNvCnPr/>
                    <wps:spPr>
                      <a:xfrm>
                        <a:off x="0" y="0"/>
                        <a:ext cx="613351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56EB7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5pt,-21.45pt" to="463.3pt,-2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6fGBngEAAJQDAAAOAAAAZHJzL2Uyb0RvYy54bWysU01P4zAQvSPxHyzft0kKi1DUlANouSBA&#13;&#10;u8sPMM64sWR7LNvbpP+esdumK0BCWu3F8ce8N/PeTFY3kzVsCyFqdB1vFjVn4CT22m06/vL7x7dr&#13;&#10;zmISrhcGHXR8B5HfrM/PVqNvYYkDmh4CIxIX29F3fEjJt1UV5QBWxAV6cPSoMFiR6Bg2VR/ESOzW&#13;&#10;VMu6vqpGDL0PKCFGur3bP/J14VcKZHpSKkJipuNUWyprKOtrXqv1SrSbIPyg5aEM8Q9VWKEdJZ2p&#13;&#10;7kQS7E/QH6islgEjqrSQaCtUSksoGkhNU79T82sQHooWMif62ab4/2jl4/bWPQeyYfSxjf45ZBWT&#13;&#10;CjZ/qT42FbN2s1kwJSbp8qq5uPjeXHImj2/VCehDTPeAluVNx412WYdoxfYhJkpGoccQOpxSl13a&#13;&#10;GcjBxv0ExXRPyZYFXaYCbk1gW0H9FFKCS03uIfGV6AxT2pgZWH8NPMRnKJSJmcHN1+AZUTKjSzPY&#13;&#10;aofhM4I0HUtW+/ijA3vd2YJX7HelKcUaan1ReBjTPFt/nwv89DOt3wAAAP//AwBQSwMEFAAGAAgA&#13;&#10;AAAhACUpgoXfAAAAEAEAAA8AAABkcnMvZG93bnJldi54bWxMT0tLw0AQvgv+h2UEb+2mWwkmzaaI&#13;&#10;Ini0qQePm+yYR7MPstsm/feOIOhlmMc336PYL2ZkF5xC76yEzToBhrZxurethI/j6+oRWIjKajU6&#13;&#10;ixKuGGBf3t4UKtdutge8VLFlRGJDriR0Mfqc89B0aFRYO4+Wbl9uMirSOLVcT2omcjNykSQpN6q3&#13;&#10;pNApj88dNqfqbCR8TvUg3q6zF25Iq2zwKN4PKOX93fKyo/K0AxZxiX8f8JOB/ENJxmp3tjqwUcJq&#13;&#10;m20JSs2DyIARIhNpCqz+3fCy4P+DlN8AAAD//wMAUEsBAi0AFAAGAAgAAAAhALaDOJL+AAAA4QEA&#13;&#10;ABMAAAAAAAAAAAAAAAAAAAAAAFtDb250ZW50X1R5cGVzXS54bWxQSwECLQAUAAYACAAAACEAOP0h&#13;&#10;/9YAAACUAQAACwAAAAAAAAAAAAAAAAAvAQAAX3JlbHMvLnJlbHNQSwECLQAUAAYACAAAACEAPOnx&#13;&#10;gZ4BAACUAwAADgAAAAAAAAAAAAAAAAAuAgAAZHJzL2Uyb0RvYy54bWxQSwECLQAUAAYACAAAACEA&#13;&#10;JSmChd8AAAAQAQAADwAAAAAAAAAAAAAAAAD4AwAAZHJzL2Rvd25yZXYueG1sUEsFBgAAAAAEAAQA&#13;&#10;8wAAAAQFAAAAAA==&#13;&#10;" strokecolor="#4f81bd [3204]" strokeweight="2pt">
              <v:shadow on="t" color="black" opacity="24903f" origin=",.5" offset="0,.55556mm"/>
            </v:line>
          </w:pict>
        </mc:Fallback>
      </mc:AlternateContent>
    </w:r>
    <w:proofErr w:type="spellStart"/>
    <w:r w:rsidRPr="005049A8">
      <w:rPr>
        <w:color w:val="7F7F7F" w:themeColor="text1" w:themeTint="80"/>
        <w:lang w:val="es-ES_tradnl"/>
      </w:rPr>
      <w:t>Baumann&amp;Co</w:t>
    </w:r>
    <w:proofErr w:type="spellEnd"/>
    <w:r w:rsidRPr="005049A8">
      <w:rPr>
        <w:color w:val="7F7F7F" w:themeColor="text1" w:themeTint="80"/>
        <w:lang w:val="es-ES_tradnl"/>
      </w:rPr>
      <w:t>.</w:t>
    </w:r>
    <w:r w:rsidRPr="005049A8">
      <w:rPr>
        <w:color w:val="7F7F7F" w:themeColor="text1" w:themeTint="80"/>
        <w:lang w:val="es-ES_tradnl"/>
      </w:rPr>
      <w:tab/>
      <w:t>info@baumann-co.com</w:t>
    </w:r>
    <w:r w:rsidRPr="005049A8">
      <w:rPr>
        <w:color w:val="7F7F7F" w:themeColor="text1" w:themeTint="80"/>
        <w:lang w:val="es-ES_tradnl"/>
      </w:rPr>
      <w:tab/>
      <w:t>www.baumann-co.com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25FD" w14:textId="77777777" w:rsidR="003A6854" w:rsidRDefault="003A6854" w:rsidP="005049A8">
      <w:pPr>
        <w:spacing w:after="0" w:line="240" w:lineRule="auto"/>
      </w:pPr>
      <w:r>
        <w:separator/>
      </w:r>
    </w:p>
  </w:footnote>
  <w:footnote w:type="continuationSeparator" w:id="0">
    <w:p w14:paraId="650F287B" w14:textId="77777777" w:rsidR="003A6854" w:rsidRDefault="003A6854" w:rsidP="00504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9975" w14:textId="2AD3F782" w:rsidR="005049A8" w:rsidRPr="005049A8" w:rsidRDefault="005049A8" w:rsidP="005049A8">
    <w:pPr>
      <w:pStyle w:val="Encabezado"/>
    </w:pPr>
    <w:r>
      <w:rPr>
        <w:noProof/>
      </w:rPr>
      <w:drawing>
        <wp:anchor distT="0" distB="0" distL="114300" distR="114300" simplePos="0" relativeHeight="251658240" behindDoc="1" locked="0" layoutInCell="1" allowOverlap="1" wp14:anchorId="20CB0162" wp14:editId="78B1F2EE">
          <wp:simplePos x="0" y="0"/>
          <wp:positionH relativeFrom="column">
            <wp:posOffset>5482883</wp:posOffset>
          </wp:positionH>
          <wp:positionV relativeFrom="paragraph">
            <wp:posOffset>-105507</wp:posOffset>
          </wp:positionV>
          <wp:extent cx="498866" cy="498866"/>
          <wp:effectExtent l="0" t="0" r="0" b="0"/>
          <wp:wrapNone/>
          <wp:docPr id="2272875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87534" name="Imagen 227287534"/>
                  <pic:cNvPicPr/>
                </pic:nvPicPr>
                <pic:blipFill>
                  <a:blip r:embed="rId1"/>
                  <a:stretch>
                    <a:fillRect/>
                  </a:stretch>
                </pic:blipFill>
                <pic:spPr>
                  <a:xfrm>
                    <a:off x="0" y="0"/>
                    <a:ext cx="507986" cy="5079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934440309">
    <w:abstractNumId w:val="8"/>
  </w:num>
  <w:num w:numId="2" w16cid:durableId="140929764">
    <w:abstractNumId w:val="6"/>
  </w:num>
  <w:num w:numId="3" w16cid:durableId="1626690383">
    <w:abstractNumId w:val="5"/>
  </w:num>
  <w:num w:numId="4" w16cid:durableId="1744833667">
    <w:abstractNumId w:val="4"/>
  </w:num>
  <w:num w:numId="5" w16cid:durableId="1077241508">
    <w:abstractNumId w:val="7"/>
  </w:num>
  <w:num w:numId="6" w16cid:durableId="515047698">
    <w:abstractNumId w:val="3"/>
  </w:num>
  <w:num w:numId="7" w16cid:durableId="1227565703">
    <w:abstractNumId w:val="2"/>
  </w:num>
  <w:num w:numId="8" w16cid:durableId="1339383239">
    <w:abstractNumId w:val="1"/>
  </w:num>
  <w:num w:numId="9" w16cid:durableId="22060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7E1C"/>
    <w:rsid w:val="0015074B"/>
    <w:rsid w:val="0029639D"/>
    <w:rsid w:val="00326F90"/>
    <w:rsid w:val="003A6854"/>
    <w:rsid w:val="005049A8"/>
    <w:rsid w:val="005E45D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F93B5"/>
  <w14:defaultImageDpi w14:val="300"/>
  <w15:docId w15:val="{B6716A79-3639-A24D-ABD5-4AD62BE8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5049A8"/>
    <w:rPr>
      <w:color w:val="0000FF" w:themeColor="hyperlink"/>
      <w:u w:val="single"/>
    </w:rPr>
  </w:style>
  <w:style w:type="character" w:styleId="Mencinsinresolver">
    <w:name w:val="Unresolved Mention"/>
    <w:basedOn w:val="Fuentedeprrafopredeter"/>
    <w:uiPriority w:val="99"/>
    <w:semiHidden/>
    <w:unhideWhenUsed/>
    <w:rsid w:val="0050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358</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Manuel Baumann</cp:lastModifiedBy>
  <cp:revision>2</cp:revision>
  <dcterms:created xsi:type="dcterms:W3CDTF">2013-12-23T23:15:00Z</dcterms:created>
  <dcterms:modified xsi:type="dcterms:W3CDTF">2025-09-13T19:02:00Z</dcterms:modified>
  <cp:category/>
</cp:coreProperties>
</file>