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6C4C" w14:textId="77777777" w:rsidR="005F1498" w:rsidRDefault="00220B64">
      <w:pPr>
        <w:spacing w:after="80"/>
      </w:pPr>
      <w:r>
        <w:rPr>
          <w:rFonts w:ascii="Arial" w:eastAsia="Arial" w:hAnsi="Arial" w:cs="Arial"/>
          <w:b/>
          <w:bCs/>
          <w:color w:val="1B3A5C"/>
          <w:sz w:val="36"/>
          <w:szCs w:val="36"/>
        </w:rPr>
        <w:t>Training from the BACK of the Room</w:t>
      </w:r>
    </w:p>
    <w:p w14:paraId="0D816C4D" w14:textId="77777777" w:rsidR="005F1498" w:rsidRDefault="00220B64">
      <w:pPr>
        <w:spacing w:after="60"/>
      </w:pPr>
      <w:r>
        <w:rPr>
          <w:rFonts w:ascii="Arial" w:eastAsia="Arial" w:hAnsi="Arial" w:cs="Arial"/>
          <w:i/>
          <w:iCs/>
          <w:color w:val="2ABFBF"/>
          <w:sz w:val="24"/>
          <w:szCs w:val="24"/>
        </w:rPr>
        <w:t>A funding request for professional development</w:t>
      </w:r>
    </w:p>
    <w:p w14:paraId="0D816C4E" w14:textId="77777777" w:rsidR="005F1498" w:rsidRDefault="00220B64">
      <w:pPr>
        <w:spacing w:after="60"/>
      </w:pPr>
      <w:r>
        <w:rPr>
          <w:rFonts w:ascii="Arial" w:eastAsia="Arial" w:hAnsi="Arial" w:cs="Arial"/>
          <w:color w:val="555555"/>
          <w:sz w:val="22"/>
          <w:szCs w:val="22"/>
        </w:rPr>
        <w:t xml:space="preserve">2-Day Practitioner </w:t>
      </w:r>
      <w:proofErr w:type="gramStart"/>
      <w:r>
        <w:rPr>
          <w:rFonts w:ascii="Arial" w:eastAsia="Arial" w:hAnsi="Arial" w:cs="Arial"/>
          <w:color w:val="555555"/>
          <w:sz w:val="22"/>
          <w:szCs w:val="22"/>
        </w:rPr>
        <w:t>Course  |</w:t>
      </w:r>
      <w:proofErr w:type="gramEnd"/>
      <w:r>
        <w:rPr>
          <w:rFonts w:ascii="Arial" w:eastAsia="Arial" w:hAnsi="Arial" w:cs="Arial"/>
          <w:color w:val="555555"/>
          <w:sz w:val="22"/>
          <w:szCs w:val="22"/>
        </w:rPr>
        <w:t xml:space="preserve">  </w:t>
      </w:r>
      <w:proofErr w:type="gramStart"/>
      <w:r>
        <w:rPr>
          <w:rFonts w:ascii="Arial" w:eastAsia="Arial" w:hAnsi="Arial" w:cs="Arial"/>
          <w:color w:val="555555"/>
          <w:sz w:val="22"/>
          <w:szCs w:val="22"/>
        </w:rPr>
        <w:t>London  |</w:t>
      </w:r>
      <w:proofErr w:type="gramEnd"/>
      <w:r>
        <w:rPr>
          <w:rFonts w:ascii="Arial" w:eastAsia="Arial" w:hAnsi="Arial" w:cs="Arial"/>
          <w:color w:val="555555"/>
          <w:sz w:val="22"/>
          <w:szCs w:val="22"/>
        </w:rPr>
        <w:t xml:space="preserve">  11–12 June </w:t>
      </w:r>
      <w:proofErr w:type="gramStart"/>
      <w:r>
        <w:rPr>
          <w:rFonts w:ascii="Arial" w:eastAsia="Arial" w:hAnsi="Arial" w:cs="Arial"/>
          <w:color w:val="555555"/>
          <w:sz w:val="22"/>
          <w:szCs w:val="22"/>
        </w:rPr>
        <w:t>2026  |</w:t>
      </w:r>
      <w:proofErr w:type="gramEnd"/>
      <w:r>
        <w:rPr>
          <w:rFonts w:ascii="Arial" w:eastAsia="Arial" w:hAnsi="Arial" w:cs="Arial"/>
          <w:color w:val="555555"/>
          <w:sz w:val="22"/>
          <w:szCs w:val="22"/>
        </w:rPr>
        <w:t xml:space="preserve">  £950 + VAT</w:t>
      </w:r>
    </w:p>
    <w:p w14:paraId="0D816C4F" w14:textId="77777777" w:rsidR="005F1498" w:rsidRDefault="005F1498">
      <w:pPr>
        <w:pBdr>
          <w:bottom w:val="single" w:sz="6" w:space="1" w:color="2ABFBF"/>
        </w:pBdr>
        <w:spacing w:before="80" w:after="180"/>
      </w:pPr>
    </w:p>
    <w:p w14:paraId="0D816C50" w14:textId="77777777" w:rsidR="005F1498" w:rsidRDefault="00220B64">
      <w:pPr>
        <w:spacing w:before="300" w:after="120"/>
      </w:pPr>
      <w:r>
        <w:rPr>
          <w:rFonts w:ascii="Arial" w:eastAsia="Arial" w:hAnsi="Arial" w:cs="Arial"/>
          <w:b/>
          <w:bCs/>
          <w:color w:val="1B3A5C"/>
          <w:sz w:val="28"/>
          <w:szCs w:val="28"/>
        </w:rPr>
        <w:t>Why I’m requesting this</w:t>
      </w:r>
    </w:p>
    <w:p w14:paraId="0D816C51" w14:textId="10AE4BAF" w:rsidR="005F1498" w:rsidRDefault="00220B64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I would like to attend Training from the BACK of the Room (TBR), a 2-day in-person practitioner course in London on 11</w:t>
      </w:r>
      <w:r w:rsidR="000018D2"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>12 June 2026.</w:t>
      </w:r>
    </w:p>
    <w:p w14:paraId="0D816C52" w14:textId="77777777" w:rsidR="005F1498" w:rsidRDefault="005F1498">
      <w:pPr>
        <w:spacing w:before="80" w:after="80"/>
      </w:pPr>
    </w:p>
    <w:p w14:paraId="0D816C53" w14:textId="7E39369E" w:rsidR="005F1498" w:rsidRDefault="00220B64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 xml:space="preserve">TBR is a globally recognised facilitation and instructional design methodology grounded in cognitive neuroscience. It teaches participants how the brain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actually </w:t>
      </w:r>
      <w:r w:rsidR="000018D2">
        <w:rPr>
          <w:rFonts w:ascii="Arial" w:eastAsia="Arial" w:hAnsi="Arial" w:cs="Arial"/>
          <w:sz w:val="22"/>
          <w:szCs w:val="22"/>
        </w:rPr>
        <w:t>learns</w:t>
      </w:r>
      <w:proofErr w:type="gramEnd"/>
      <w:r w:rsidR="000018D2">
        <w:rPr>
          <w:rFonts w:ascii="Arial" w:eastAsia="Arial" w:hAnsi="Arial" w:cs="Arial"/>
          <w:sz w:val="22"/>
          <w:szCs w:val="22"/>
        </w:rPr>
        <w:t xml:space="preserve"> and</w:t>
      </w:r>
      <w:r>
        <w:rPr>
          <w:rFonts w:ascii="Arial" w:eastAsia="Arial" w:hAnsi="Arial" w:cs="Arial"/>
          <w:sz w:val="22"/>
          <w:szCs w:val="22"/>
        </w:rPr>
        <w:t xml:space="preserve"> gives them a practical toolkit to design and deliver sessions that engage people and make learning stick.</w:t>
      </w:r>
    </w:p>
    <w:p w14:paraId="0D816C54" w14:textId="77777777" w:rsidR="005F1498" w:rsidRDefault="005F1498">
      <w:pPr>
        <w:spacing w:before="80" w:after="80"/>
      </w:pPr>
    </w:p>
    <w:p w14:paraId="0D816C55" w14:textId="77777777" w:rsidR="005F1498" w:rsidRDefault="00220B64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This directly applies to how I design and deliver training, workshops, presentations, and any sessions I run internally.</w:t>
      </w:r>
    </w:p>
    <w:p w14:paraId="0D816C56" w14:textId="77777777" w:rsidR="005F1498" w:rsidRDefault="005F1498">
      <w:pPr>
        <w:spacing w:before="80" w:after="80"/>
      </w:pPr>
    </w:p>
    <w:p w14:paraId="0D816C57" w14:textId="77777777" w:rsidR="005F1498" w:rsidRDefault="005F1498">
      <w:pPr>
        <w:pBdr>
          <w:bottom w:val="single" w:sz="6" w:space="1" w:color="2ABFBF"/>
        </w:pBdr>
        <w:spacing w:before="80" w:after="180"/>
      </w:pPr>
    </w:p>
    <w:p w14:paraId="0D816C58" w14:textId="77777777" w:rsidR="005F1498" w:rsidRDefault="00220B64">
      <w:pPr>
        <w:spacing w:before="300" w:after="120"/>
      </w:pPr>
      <w:r>
        <w:rPr>
          <w:rFonts w:ascii="Arial" w:eastAsia="Arial" w:hAnsi="Arial" w:cs="Arial"/>
          <w:b/>
          <w:bCs/>
          <w:color w:val="1B3A5C"/>
          <w:sz w:val="28"/>
          <w:szCs w:val="28"/>
        </w:rPr>
        <w:t>What I will bring back to the organisation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F1498" w14:paraId="0D816C5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3" w:space="0" w:color="2ABFBF"/>
              <w:left w:val="none" w:sz="0" w:space="0" w:color="FFFFFF"/>
              <w:bottom w:val="single" w:sz="3" w:space="0" w:color="2ABFBF"/>
              <w:right w:val="none" w:sz="0" w:space="0" w:color="FFFFFF"/>
            </w:tcBorders>
            <w:shd w:val="clear" w:color="auto" w:fill="E8F7F7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0D816C59" w14:textId="77777777" w:rsidR="005F1498" w:rsidRDefault="00220B64">
            <w:pPr>
              <w:spacing w:before="60" w:after="40"/>
            </w:pPr>
            <w:r>
              <w:rPr>
                <w:rFonts w:ascii="Arial" w:eastAsia="Arial" w:hAnsi="Arial" w:cs="Arial"/>
                <w:b/>
                <w:bCs/>
                <w:color w:val="1B3A5C"/>
                <w:sz w:val="22"/>
                <w:szCs w:val="22"/>
              </w:rPr>
              <w:t>The course concludes with a structured output: a completed 4Cs facilitation plan for a real session I plan to deliver.</w:t>
            </w:r>
          </w:p>
          <w:p w14:paraId="0D816C5A" w14:textId="77777777" w:rsidR="005F1498" w:rsidRDefault="005F1498">
            <w:pPr>
              <w:spacing w:before="40" w:after="40"/>
            </w:pPr>
          </w:p>
          <w:p w14:paraId="0D816C5B" w14:textId="57E1C14B" w:rsidR="005F1498" w:rsidRDefault="00220B64">
            <w:pPr>
              <w:spacing w:before="40" w:after="60"/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This means I will leave the course with a ready-to-use, brain-based session design built around a live piece of work</w:t>
            </w:r>
            <w:r w:rsidR="000018D2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not just theory I’ll need to apply later.</w:t>
            </w:r>
          </w:p>
        </w:tc>
      </w:tr>
    </w:tbl>
    <w:p w14:paraId="0D816C5D" w14:textId="77777777" w:rsidR="005F1498" w:rsidRDefault="005F1498">
      <w:pPr>
        <w:spacing w:before="160" w:after="80"/>
      </w:pPr>
    </w:p>
    <w:p w14:paraId="0D816C5E" w14:textId="77777777" w:rsidR="005F1498" w:rsidRDefault="00220B64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The 4Cs design model structures any training session or workshop into four phases:</w:t>
      </w:r>
    </w:p>
    <w:p w14:paraId="0D816C5F" w14:textId="77777777" w:rsidR="005F1498" w:rsidRDefault="005F1498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7"/>
        <w:gridCol w:w="2257"/>
      </w:tblGrid>
      <w:tr w:rsidR="005F1498" w14:paraId="0D816C64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B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816C60" w14:textId="77777777" w:rsidR="005F1498" w:rsidRDefault="00220B64">
            <w:r>
              <w:rPr>
                <w:rFonts w:ascii="Arial" w:eastAsia="Arial" w:hAnsi="Arial" w:cs="Arial"/>
                <w:b/>
                <w:bCs/>
                <w:caps/>
                <w:color w:val="FFFFFF"/>
                <w:sz w:val="22"/>
                <w:szCs w:val="22"/>
              </w:rPr>
              <w:t>Connection</w:t>
            </w:r>
          </w:p>
        </w:tc>
        <w:tc>
          <w:tcPr>
            <w:tcW w:w="225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B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816C61" w14:textId="77777777" w:rsidR="005F1498" w:rsidRDefault="00220B64">
            <w:r>
              <w:rPr>
                <w:rFonts w:ascii="Arial" w:eastAsia="Arial" w:hAnsi="Arial" w:cs="Arial"/>
                <w:b/>
                <w:bCs/>
                <w:caps/>
                <w:color w:val="FFFFFF"/>
                <w:sz w:val="22"/>
                <w:szCs w:val="22"/>
              </w:rPr>
              <w:t>Concepts</w:t>
            </w:r>
          </w:p>
        </w:tc>
        <w:tc>
          <w:tcPr>
            <w:tcW w:w="225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B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816C62" w14:textId="77777777" w:rsidR="005F1498" w:rsidRDefault="00220B64">
            <w:r>
              <w:rPr>
                <w:rFonts w:ascii="Arial" w:eastAsia="Arial" w:hAnsi="Arial" w:cs="Arial"/>
                <w:b/>
                <w:bCs/>
                <w:caps/>
                <w:color w:val="FFFFFF"/>
                <w:sz w:val="22"/>
                <w:szCs w:val="22"/>
              </w:rPr>
              <w:t>Concrete Practice</w:t>
            </w:r>
          </w:p>
        </w:tc>
        <w:tc>
          <w:tcPr>
            <w:tcW w:w="225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B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816C63" w14:textId="77777777" w:rsidR="005F1498" w:rsidRDefault="00220B64">
            <w:r>
              <w:rPr>
                <w:rFonts w:ascii="Arial" w:eastAsia="Arial" w:hAnsi="Arial" w:cs="Arial"/>
                <w:b/>
                <w:bCs/>
                <w:caps/>
                <w:color w:val="FFFFFF"/>
                <w:sz w:val="22"/>
                <w:szCs w:val="22"/>
              </w:rPr>
              <w:t>Conclusion</w:t>
            </w:r>
          </w:p>
        </w:tc>
      </w:tr>
      <w:tr w:rsidR="005F1498" w14:paraId="0D816C69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7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816C65" w14:textId="77777777" w:rsidR="005F1498" w:rsidRDefault="00220B64">
            <w:r>
              <w:rPr>
                <w:rFonts w:ascii="Arial" w:eastAsia="Arial" w:hAnsi="Arial" w:cs="Arial"/>
              </w:rPr>
              <w:t>How to open a session so people are immediately engaged, not just present</w:t>
            </w:r>
          </w:p>
        </w:tc>
        <w:tc>
          <w:tcPr>
            <w:tcW w:w="225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7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816C66" w14:textId="77777777" w:rsidR="005F1498" w:rsidRDefault="00220B64">
            <w:r>
              <w:rPr>
                <w:rFonts w:ascii="Arial" w:eastAsia="Arial" w:hAnsi="Arial" w:cs="Arial"/>
              </w:rPr>
              <w:t xml:space="preserve">How to deliver content in short, memorable chunks that </w:t>
            </w:r>
            <w:proofErr w:type="gramStart"/>
            <w:r>
              <w:rPr>
                <w:rFonts w:ascii="Arial" w:eastAsia="Arial" w:hAnsi="Arial" w:cs="Arial"/>
              </w:rPr>
              <w:t>actually land</w:t>
            </w:r>
            <w:proofErr w:type="gramEnd"/>
          </w:p>
        </w:tc>
        <w:tc>
          <w:tcPr>
            <w:tcW w:w="225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7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816C67" w14:textId="77777777" w:rsidR="005F1498" w:rsidRDefault="00220B64">
            <w:r>
              <w:rPr>
                <w:rFonts w:ascii="Arial" w:eastAsia="Arial" w:hAnsi="Arial" w:cs="Arial"/>
              </w:rPr>
              <w:t>How to design activities that make learning stick through doing</w:t>
            </w:r>
          </w:p>
        </w:tc>
        <w:tc>
          <w:tcPr>
            <w:tcW w:w="225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7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816C68" w14:textId="77777777" w:rsidR="005F1498" w:rsidRDefault="00220B64">
            <w:r>
              <w:rPr>
                <w:rFonts w:ascii="Arial" w:eastAsia="Arial" w:hAnsi="Arial" w:cs="Arial"/>
              </w:rPr>
              <w:t>How to close a session so people leave with clarity and next steps</w:t>
            </w:r>
          </w:p>
        </w:tc>
      </w:tr>
    </w:tbl>
    <w:p w14:paraId="0D816C6A" w14:textId="77777777" w:rsidR="005F1498" w:rsidRDefault="005F1498">
      <w:pPr>
        <w:spacing w:before="120" w:after="60"/>
      </w:pPr>
    </w:p>
    <w:p w14:paraId="0D816C6B" w14:textId="77777777" w:rsidR="005F1498" w:rsidRDefault="00220B64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I will apply this to [INSERT YOUR SESSION TOPIC HERE], which I am scheduled to deliver to [TEAM/AUDIENCE]. The course gives me the framework, the tools, and dedicated time to build the plan. I will bring back a polished session design ready to run.</w:t>
      </w:r>
    </w:p>
    <w:p w14:paraId="0D816C6C" w14:textId="77777777" w:rsidR="005F1498" w:rsidRDefault="005F1498">
      <w:pPr>
        <w:spacing w:before="80" w:after="80"/>
      </w:pPr>
    </w:p>
    <w:p w14:paraId="0D816C6D" w14:textId="77777777" w:rsidR="005F1498" w:rsidRDefault="005F1498">
      <w:pPr>
        <w:pBdr>
          <w:bottom w:val="single" w:sz="6" w:space="1" w:color="2ABFBF"/>
        </w:pBdr>
        <w:spacing w:before="80" w:after="180"/>
      </w:pPr>
    </w:p>
    <w:p w14:paraId="0D816C6E" w14:textId="77777777" w:rsidR="005F1498" w:rsidRDefault="00220B64">
      <w:pPr>
        <w:spacing w:before="300" w:after="120"/>
      </w:pPr>
      <w:r>
        <w:rPr>
          <w:rFonts w:ascii="Arial" w:eastAsia="Arial" w:hAnsi="Arial" w:cs="Arial"/>
          <w:b/>
          <w:bCs/>
          <w:color w:val="1B3A5C"/>
          <w:sz w:val="28"/>
          <w:szCs w:val="28"/>
        </w:rPr>
        <w:t>What I will learn</w:t>
      </w:r>
    </w:p>
    <w:p w14:paraId="0D816C6F" w14:textId="77777777" w:rsidR="005F1498" w:rsidRDefault="00220B64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Over the two days, I will cover:</w:t>
      </w:r>
    </w:p>
    <w:p w14:paraId="0D816C70" w14:textId="77777777" w:rsidR="005F1498" w:rsidRDefault="005F1498">
      <w:pPr>
        <w:spacing w:before="40" w:after="20"/>
      </w:pPr>
    </w:p>
    <w:p w14:paraId="0D816C71" w14:textId="77777777" w:rsidR="005F1498" w:rsidRDefault="00220B6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The 6 brain science principles that determine how people retain information</w:t>
      </w:r>
    </w:p>
    <w:p w14:paraId="0D816C72" w14:textId="2B5CD6F2" w:rsidR="005F1498" w:rsidRDefault="00971312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lastRenderedPageBreak/>
        <w:t>40</w:t>
      </w:r>
      <w:r w:rsidR="00220B64">
        <w:rPr>
          <w:rFonts w:ascii="Arial" w:eastAsia="Arial" w:hAnsi="Arial" w:cs="Arial"/>
          <w:sz w:val="22"/>
          <w:szCs w:val="22"/>
        </w:rPr>
        <w:t>+ practical facilitation tools that shift sessions from passive to participative</w:t>
      </w:r>
    </w:p>
    <w:p w14:paraId="0D816C73" w14:textId="77777777" w:rsidR="005F1498" w:rsidRDefault="00220B6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The 4Cs instructional design model and how to apply it to any topic</w:t>
      </w:r>
    </w:p>
    <w:p w14:paraId="0D816C74" w14:textId="77777777" w:rsidR="005F1498" w:rsidRDefault="00220B6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How to reduce reliance on slides without losing structure or confidence</w:t>
      </w:r>
    </w:p>
    <w:p w14:paraId="0D816C75" w14:textId="77777777" w:rsidR="005F1498" w:rsidRDefault="00220B6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How to read a room and adapt in the moment</w:t>
      </w:r>
    </w:p>
    <w:p w14:paraId="0D816C76" w14:textId="77777777" w:rsidR="005F1498" w:rsidRDefault="00220B6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A globally recognised TBR Practitioner Certification</w:t>
      </w:r>
    </w:p>
    <w:p w14:paraId="0D816C77" w14:textId="77777777" w:rsidR="005F1498" w:rsidRDefault="005F1498">
      <w:pPr>
        <w:spacing w:before="60" w:after="40"/>
      </w:pPr>
    </w:p>
    <w:p w14:paraId="0D816C78" w14:textId="77777777" w:rsidR="005F1498" w:rsidRDefault="00220B64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The course is experiential, meaning participants feel every principle working on them before they apply it. It is grounded in science, not opinion.</w:t>
      </w:r>
    </w:p>
    <w:p w14:paraId="0D816C79" w14:textId="77777777" w:rsidR="005F1498" w:rsidRDefault="005F1498">
      <w:pPr>
        <w:spacing w:before="80" w:after="80"/>
      </w:pPr>
    </w:p>
    <w:p w14:paraId="0D816C7A" w14:textId="77777777" w:rsidR="005F1498" w:rsidRDefault="005F1498">
      <w:pPr>
        <w:pBdr>
          <w:bottom w:val="single" w:sz="6" w:space="1" w:color="2ABFBF"/>
        </w:pBdr>
        <w:spacing w:before="80" w:after="180"/>
      </w:pPr>
    </w:p>
    <w:p w14:paraId="0D816C7B" w14:textId="77777777" w:rsidR="005F1498" w:rsidRDefault="00220B64">
      <w:pPr>
        <w:spacing w:before="300" w:after="120"/>
      </w:pPr>
      <w:r>
        <w:rPr>
          <w:rFonts w:ascii="Arial" w:eastAsia="Arial" w:hAnsi="Arial" w:cs="Arial"/>
          <w:b/>
          <w:bCs/>
          <w:color w:val="1B3A5C"/>
          <w:sz w:val="28"/>
          <w:szCs w:val="28"/>
        </w:rPr>
        <w:t>Return on investment for the organisation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226"/>
        <w:gridCol w:w="4400"/>
      </w:tblGrid>
      <w:tr w:rsidR="005F1498" w14:paraId="0D816C7F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816C7C" w14:textId="77777777" w:rsidR="005F1498" w:rsidRDefault="00220B64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For the organisation</w:t>
            </w:r>
          </w:p>
        </w:tc>
        <w:tc>
          <w:tcPr>
            <w:tcW w:w="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16C7D" w14:textId="77777777" w:rsidR="005F1498" w:rsidRDefault="005F1498"/>
        </w:tc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816C7E" w14:textId="77777777" w:rsidR="005F1498" w:rsidRDefault="00220B64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For me</w:t>
            </w:r>
          </w:p>
        </w:tc>
      </w:tr>
      <w:tr w:rsidR="005F1498" w14:paraId="0D816C8B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4F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816C80" w14:textId="77777777" w:rsidR="005F1498" w:rsidRDefault="00220B64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sz w:val="22"/>
                <w:szCs w:val="22"/>
              </w:rPr>
              <w:t>Training sessions that are more engaging and easier to retain</w:t>
            </w:r>
          </w:p>
          <w:p w14:paraId="0D816C81" w14:textId="77777777" w:rsidR="005F1498" w:rsidRDefault="00220B64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sz w:val="22"/>
                <w:szCs w:val="22"/>
              </w:rPr>
              <w:t>Workshops that generate real participation, not passive listening</w:t>
            </w:r>
          </w:p>
          <w:p w14:paraId="0D816C82" w14:textId="77777777" w:rsidR="005F1498" w:rsidRDefault="00220B64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sz w:val="22"/>
                <w:szCs w:val="22"/>
              </w:rPr>
              <w:t>A completed session plan ready to deliver immediately after the course</w:t>
            </w:r>
          </w:p>
          <w:p w14:paraId="0D816C83" w14:textId="77777777" w:rsidR="005F1498" w:rsidRDefault="00220B64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sz w:val="22"/>
                <w:szCs w:val="22"/>
              </w:rPr>
              <w:t>Reduced risk of compliance or knowledge transfer gaps from poor facilitation</w:t>
            </w:r>
          </w:p>
          <w:p w14:paraId="0D816C84" w14:textId="77777777" w:rsidR="005F1498" w:rsidRDefault="00220B64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sz w:val="22"/>
                <w:szCs w:val="22"/>
              </w:rPr>
              <w:t>A shared facilitation language that can spread across the team</w:t>
            </w:r>
          </w:p>
        </w:tc>
        <w:tc>
          <w:tcPr>
            <w:tcW w:w="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16C85" w14:textId="77777777" w:rsidR="005F1498" w:rsidRDefault="005F1498"/>
        </w:tc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4F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816C86" w14:textId="77777777" w:rsidR="005F1498" w:rsidRDefault="00220B64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sz w:val="22"/>
                <w:szCs w:val="22"/>
              </w:rPr>
              <w:t>Practical tools usable from the very next session I deliver</w:t>
            </w:r>
          </w:p>
          <w:p w14:paraId="0D816C87" w14:textId="77777777" w:rsidR="005F1498" w:rsidRDefault="00220B64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sz w:val="22"/>
                <w:szCs w:val="22"/>
              </w:rPr>
              <w:t>Less prep time through better session design from the start</w:t>
            </w:r>
          </w:p>
          <w:p w14:paraId="0D816C88" w14:textId="77777777" w:rsidR="005F1498" w:rsidRDefault="00220B64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sz w:val="22"/>
                <w:szCs w:val="22"/>
              </w:rPr>
              <w:t>More confidence running workshops, briefings, and training sessions</w:t>
            </w:r>
          </w:p>
          <w:p w14:paraId="0D816C89" w14:textId="77777777" w:rsidR="005F1498" w:rsidRDefault="00220B64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sz w:val="22"/>
                <w:szCs w:val="22"/>
              </w:rPr>
              <w:t>A globally recognised certification that builds credibility</w:t>
            </w:r>
          </w:p>
          <w:p w14:paraId="0D816C8A" w14:textId="77777777" w:rsidR="005F1498" w:rsidRDefault="00220B64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sz w:val="22"/>
                <w:szCs w:val="22"/>
              </w:rPr>
              <w:t>TBR Practitioner Certification included at no extra cost</w:t>
            </w:r>
          </w:p>
        </w:tc>
      </w:tr>
    </w:tbl>
    <w:p w14:paraId="0D816C8C" w14:textId="77777777" w:rsidR="005F1498" w:rsidRDefault="005F1498">
      <w:pPr>
        <w:spacing w:before="160" w:after="80"/>
      </w:pPr>
    </w:p>
    <w:p w14:paraId="0D816C8D" w14:textId="77777777" w:rsidR="005F1498" w:rsidRDefault="00220B64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The 6 brain science principles I will learn are:</w:t>
      </w:r>
    </w:p>
    <w:p w14:paraId="0D816C8E" w14:textId="77777777" w:rsidR="005F1498" w:rsidRDefault="005F1498">
      <w:pPr>
        <w:spacing w:before="40" w:after="20"/>
      </w:pPr>
    </w:p>
    <w:p w14:paraId="0D816C8F" w14:textId="77777777" w:rsidR="005F1498" w:rsidRDefault="00220B6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Writing over Reading</w:t>
      </w:r>
    </w:p>
    <w:p w14:paraId="0D816C90" w14:textId="77777777" w:rsidR="005F1498" w:rsidRDefault="00220B6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Talking over Listening</w:t>
      </w:r>
    </w:p>
    <w:p w14:paraId="0D816C91" w14:textId="77777777" w:rsidR="005F1498" w:rsidRDefault="00220B6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Movement over Sitting</w:t>
      </w:r>
    </w:p>
    <w:p w14:paraId="0D816C92" w14:textId="77777777" w:rsidR="005F1498" w:rsidRDefault="00220B6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Images over Words</w:t>
      </w:r>
    </w:p>
    <w:p w14:paraId="0D816C93" w14:textId="77777777" w:rsidR="005F1498" w:rsidRDefault="00220B6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Short over Long</w:t>
      </w:r>
    </w:p>
    <w:p w14:paraId="0D816C94" w14:textId="77777777" w:rsidR="005F1498" w:rsidRDefault="00220B6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Different over Same</w:t>
      </w:r>
    </w:p>
    <w:p w14:paraId="0D816C95" w14:textId="77777777" w:rsidR="005F1498" w:rsidRDefault="005F1498">
      <w:pPr>
        <w:spacing w:before="60" w:after="40"/>
      </w:pPr>
    </w:p>
    <w:p w14:paraId="0D816C96" w14:textId="77777777" w:rsidR="005F1498" w:rsidRDefault="00220B64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These principles are content-independent. They work for compliance training, onboarding, team workshops, and any session where learning needs to land and be remembered.</w:t>
      </w:r>
    </w:p>
    <w:p w14:paraId="0D816C97" w14:textId="77777777" w:rsidR="005F1498" w:rsidRDefault="005F1498">
      <w:pPr>
        <w:spacing w:before="80" w:after="80"/>
      </w:pPr>
    </w:p>
    <w:p w14:paraId="0D816C98" w14:textId="77777777" w:rsidR="005F1498" w:rsidRDefault="005F1498">
      <w:pPr>
        <w:pBdr>
          <w:bottom w:val="single" w:sz="6" w:space="1" w:color="2ABFBF"/>
        </w:pBdr>
        <w:spacing w:before="80" w:after="180"/>
      </w:pPr>
    </w:p>
    <w:p w14:paraId="0D816C99" w14:textId="77777777" w:rsidR="005F1498" w:rsidRDefault="00220B64">
      <w:pPr>
        <w:spacing w:before="300" w:after="120"/>
      </w:pPr>
      <w:r>
        <w:rPr>
          <w:rFonts w:ascii="Arial" w:eastAsia="Arial" w:hAnsi="Arial" w:cs="Arial"/>
          <w:b/>
          <w:bCs/>
          <w:color w:val="1B3A5C"/>
          <w:sz w:val="28"/>
          <w:szCs w:val="28"/>
        </w:rPr>
        <w:t>Investment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000"/>
        <w:gridCol w:w="4626"/>
      </w:tblGrid>
      <w:tr w:rsidR="005F1498" w14:paraId="0D816C9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816C9A" w14:textId="77777777" w:rsidR="005F1498" w:rsidRDefault="00220B64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Option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816C9B" w14:textId="77777777" w:rsidR="005F1498" w:rsidRDefault="00220B64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Cost</w:t>
            </w:r>
          </w:p>
        </w:tc>
        <w:tc>
          <w:tcPr>
            <w:tcW w:w="4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816C9C" w14:textId="77777777" w:rsidR="005F1498" w:rsidRDefault="00220B64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Notes</w:t>
            </w:r>
          </w:p>
        </w:tc>
      </w:tr>
      <w:tr w:rsidR="005F1498" w14:paraId="0D816CA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816C9E" w14:textId="77777777" w:rsidR="005F1498" w:rsidRDefault="00220B64">
            <w:r>
              <w:rPr>
                <w:rFonts w:ascii="Arial" w:eastAsia="Arial" w:hAnsi="Arial" w:cs="Arial"/>
                <w:sz w:val="22"/>
                <w:szCs w:val="22"/>
              </w:rPr>
              <w:t>Public course (1 person)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816C9F" w14:textId="77777777" w:rsidR="005F1498" w:rsidRDefault="00220B64">
            <w:r>
              <w:rPr>
                <w:rFonts w:ascii="Arial" w:eastAsia="Arial" w:hAnsi="Arial" w:cs="Arial"/>
                <w:sz w:val="22"/>
                <w:szCs w:val="22"/>
              </w:rPr>
              <w:t>£950 + VAT</w:t>
            </w:r>
          </w:p>
        </w:tc>
        <w:tc>
          <w:tcPr>
            <w:tcW w:w="4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816CA0" w14:textId="6823B887" w:rsidR="005F1498" w:rsidRDefault="00220B64">
            <w:r>
              <w:rPr>
                <w:rFonts w:ascii="Arial" w:eastAsia="Arial" w:hAnsi="Arial" w:cs="Arial"/>
                <w:sz w:val="22"/>
                <w:szCs w:val="22"/>
              </w:rPr>
              <w:t xml:space="preserve">11–12 June 2026, London. </w:t>
            </w:r>
          </w:p>
        </w:tc>
      </w:tr>
      <w:tr w:rsidR="005F1498" w14:paraId="0D816CA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816CA2" w14:textId="77777777" w:rsidR="005F1498" w:rsidRDefault="00220B64">
            <w:r>
              <w:rPr>
                <w:rFonts w:ascii="Arial" w:eastAsia="Arial" w:hAnsi="Arial" w:cs="Arial"/>
                <w:sz w:val="22"/>
                <w:szCs w:val="22"/>
              </w:rPr>
              <w:t>Private course (up to 12 people)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816CA3" w14:textId="77777777" w:rsidR="005F1498" w:rsidRDefault="00220B64">
            <w:r>
              <w:rPr>
                <w:rFonts w:ascii="Arial" w:eastAsia="Arial" w:hAnsi="Arial" w:cs="Arial"/>
                <w:sz w:val="22"/>
                <w:szCs w:val="22"/>
              </w:rPr>
              <w:t>£7,000 + VAT</w:t>
            </w:r>
          </w:p>
        </w:tc>
        <w:tc>
          <w:tcPr>
            <w:tcW w:w="4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816CA4" w14:textId="77777777" w:rsidR="005F1498" w:rsidRDefault="00220B64">
            <w:r>
              <w:rPr>
                <w:rFonts w:ascii="Arial" w:eastAsia="Arial" w:hAnsi="Arial" w:cs="Arial"/>
                <w:sz w:val="22"/>
                <w:szCs w:val="22"/>
              </w:rPr>
              <w:t>£583 per person based on 12 attendees. Delivered at your venue, dates to suit your team.</w:t>
            </w:r>
          </w:p>
        </w:tc>
      </w:tr>
    </w:tbl>
    <w:p w14:paraId="0D816CA9" w14:textId="77777777" w:rsidR="005F1498" w:rsidRDefault="005F1498">
      <w:pPr>
        <w:spacing w:before="120" w:after="60"/>
      </w:pPr>
    </w:p>
    <w:p w14:paraId="0D816CAA" w14:textId="65A3A7F3" w:rsidR="005F1498" w:rsidRDefault="00220B64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For context, this is a one-time investment in a globally recognised certification. The tools, frameworks, and session plan I bring back are immediately applicable to real work within our team.</w:t>
      </w:r>
      <w:r w:rsidR="00F24A5F">
        <w:rPr>
          <w:rFonts w:ascii="Arial" w:eastAsia="Arial" w:hAnsi="Arial" w:cs="Arial"/>
          <w:sz w:val="22"/>
          <w:szCs w:val="22"/>
        </w:rPr>
        <w:t xml:space="preserve"> I’ll have access to the TBR community and the Training from the back of the room textbook beyond the course. </w:t>
      </w:r>
    </w:p>
    <w:p w14:paraId="0D816CAB" w14:textId="77777777" w:rsidR="005F1498" w:rsidRDefault="005F1498">
      <w:pPr>
        <w:spacing w:before="80" w:after="80"/>
      </w:pPr>
    </w:p>
    <w:p w14:paraId="0D816CAC" w14:textId="77777777" w:rsidR="005F1498" w:rsidRDefault="005F1498">
      <w:pPr>
        <w:pBdr>
          <w:bottom w:val="single" w:sz="6" w:space="1" w:color="2ABFBF"/>
        </w:pBdr>
        <w:spacing w:before="80" w:after="180"/>
      </w:pPr>
    </w:p>
    <w:p w14:paraId="0D816CAD" w14:textId="77777777" w:rsidR="005F1498" w:rsidRDefault="00220B64">
      <w:pPr>
        <w:spacing w:before="300" w:after="120"/>
      </w:pPr>
      <w:r>
        <w:rPr>
          <w:rFonts w:ascii="Arial" w:eastAsia="Arial" w:hAnsi="Arial" w:cs="Arial"/>
          <w:b/>
          <w:bCs/>
          <w:color w:val="1B3A5C"/>
          <w:sz w:val="28"/>
          <w:szCs w:val="28"/>
        </w:rPr>
        <w:t>About the course and the trainer</w:t>
      </w:r>
    </w:p>
    <w:p w14:paraId="0D816CAE" w14:textId="77777777" w:rsidR="005F1498" w:rsidRDefault="00220B64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Training from the BACK of the Room was developed by Sharon Bowman, one of the world’s leading experts in brain-based learning design. It is used by facilitators, coaches, trainers, and L&amp;D professionals across the globe and is particularly well established in the Agile, consulting, and learning and development communities.</w:t>
      </w:r>
    </w:p>
    <w:p w14:paraId="0D816CAF" w14:textId="77777777" w:rsidR="005F1498" w:rsidRDefault="005F1498">
      <w:pPr>
        <w:spacing w:before="80" w:after="80"/>
      </w:pPr>
    </w:p>
    <w:p w14:paraId="0D816CB0" w14:textId="77777777" w:rsidR="005F1498" w:rsidRDefault="00220B64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The course is delivered by Rachelle Williams, a certified TBR Trainer and one of a small number of practitioners authorised to deliver this certification in the UK. Rachelle has delivered brain-based facilitation training and workshops to organisations including Sky, GSK, BP, and the Royal Navy.</w:t>
      </w:r>
    </w:p>
    <w:p w14:paraId="0D816CB1" w14:textId="77777777" w:rsidR="005F1498" w:rsidRDefault="005F1498">
      <w:pPr>
        <w:spacing w:before="80" w:after="80"/>
      </w:pPr>
    </w:p>
    <w:p w14:paraId="0D816CB2" w14:textId="77777777" w:rsidR="005F1498" w:rsidRDefault="00220B64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 xml:space="preserve">Every session Rachelle </w:t>
      </w:r>
      <w:proofErr w:type="gramStart"/>
      <w:r>
        <w:rPr>
          <w:rFonts w:ascii="Arial" w:eastAsia="Arial" w:hAnsi="Arial" w:cs="Arial"/>
          <w:sz w:val="22"/>
          <w:szCs w:val="22"/>
        </w:rPr>
        <w:t>runs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is designed using the same principles she teaches, so attending the course is itself a demonstration of the methodology in action.</w:t>
      </w:r>
    </w:p>
    <w:p w14:paraId="0D816CB3" w14:textId="77777777" w:rsidR="005F1498" w:rsidRDefault="005F1498">
      <w:pPr>
        <w:spacing w:before="80" w:after="80"/>
      </w:pPr>
    </w:p>
    <w:p w14:paraId="0D816CB4" w14:textId="77777777" w:rsidR="005F1498" w:rsidRDefault="005F1498">
      <w:pPr>
        <w:pBdr>
          <w:bottom w:val="single" w:sz="6" w:space="1" w:color="2ABFBF"/>
        </w:pBdr>
        <w:spacing w:before="80" w:after="180"/>
      </w:pPr>
    </w:p>
    <w:p w14:paraId="0D816CB5" w14:textId="77777777" w:rsidR="005F1498" w:rsidRDefault="00220B64">
      <w:pPr>
        <w:spacing w:before="300" w:after="120"/>
      </w:pPr>
      <w:r>
        <w:rPr>
          <w:rFonts w:ascii="Arial" w:eastAsia="Arial" w:hAnsi="Arial" w:cs="Arial"/>
          <w:b/>
          <w:bCs/>
          <w:color w:val="1B3A5C"/>
          <w:sz w:val="28"/>
          <w:szCs w:val="28"/>
        </w:rPr>
        <w:t>What I commit to in return</w:t>
      </w:r>
    </w:p>
    <w:p w14:paraId="0D816CB6" w14:textId="77777777" w:rsidR="005F1498" w:rsidRDefault="00220B64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If this request is approved, I will:</w:t>
      </w:r>
    </w:p>
    <w:p w14:paraId="0D816CB7" w14:textId="77777777" w:rsidR="005F1498" w:rsidRDefault="005F1498">
      <w:pPr>
        <w:spacing w:before="40" w:after="20"/>
      </w:pPr>
    </w:p>
    <w:p w14:paraId="0D816CB8" w14:textId="77777777" w:rsidR="005F1498" w:rsidRDefault="00220B6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Attend both days of the course on 11–12 June 2026</w:t>
      </w:r>
    </w:p>
    <w:p w14:paraId="0D816CB9" w14:textId="77777777" w:rsidR="005F1498" w:rsidRDefault="00220B6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Deliver the 4Cs facilitation plan I create during the course as a real session within [X weeks] of returning</w:t>
      </w:r>
    </w:p>
    <w:p w14:paraId="0D816CBA" w14:textId="77777777" w:rsidR="005F1498" w:rsidRDefault="00220B6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Share key takeaways and tools with the wider team</w:t>
      </w:r>
    </w:p>
    <w:p w14:paraId="0D816CBB" w14:textId="77777777" w:rsidR="005F1498" w:rsidRDefault="00220B64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>Apply brain-based facilitation principles to all sessions I design going forward</w:t>
      </w:r>
    </w:p>
    <w:p w14:paraId="0D816CBC" w14:textId="77777777" w:rsidR="005F1498" w:rsidRDefault="005F1498">
      <w:pPr>
        <w:spacing w:before="100" w:after="60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5F1498" w14:paraId="0D816CC0" w14:textId="77777777" w:rsidTr="002B3E80">
        <w:tblPrEx>
          <w:tblCellMar>
            <w:top w:w="0" w:type="dxa"/>
            <w:bottom w:w="0" w:type="dxa"/>
          </w:tblCellMar>
        </w:tblPrEx>
        <w:tc>
          <w:tcPr>
            <w:tcW w:w="9923" w:type="dxa"/>
            <w:tcBorders>
              <w:top w:val="single" w:sz="3" w:space="0" w:color="2ABFBF"/>
              <w:left w:val="none" w:sz="0" w:space="0" w:color="FFFFFF"/>
              <w:bottom w:val="single" w:sz="3" w:space="0" w:color="2ABFBF"/>
              <w:right w:val="none" w:sz="0" w:space="0" w:color="FFFFFF"/>
            </w:tcBorders>
            <w:shd w:val="clear" w:color="auto" w:fill="E8F7F7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0D816CBD" w14:textId="77777777" w:rsidR="005F1498" w:rsidRDefault="00220B64">
            <w:pPr>
              <w:spacing w:before="60" w:after="40"/>
            </w:pPr>
            <w:r>
              <w:rPr>
                <w:rFonts w:ascii="Arial" w:eastAsia="Arial" w:hAnsi="Arial" w:cs="Arial"/>
                <w:b/>
                <w:bCs/>
                <w:color w:val="1B3A5C"/>
                <w:sz w:val="22"/>
                <w:szCs w:val="22"/>
              </w:rPr>
              <w:t>To register or find out more:</w:t>
            </w:r>
          </w:p>
          <w:p w14:paraId="0D816CBF" w14:textId="6F76C379" w:rsidR="005F1498" w:rsidRDefault="002B3E80" w:rsidP="0038061A">
            <w:pPr>
              <w:spacing w:before="40" w:after="40"/>
            </w:pPr>
            <w:hyperlink r:id="rId5" w:history="1">
              <w:r w:rsidRPr="00741BBF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https://www.tickettailor.com/events/tbrwithrachelle/1958038</w:t>
              </w:r>
            </w:hyperlink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 </w:t>
            </w:r>
            <w:r w:rsidR="0038061A">
              <w:rPr>
                <w:rFonts w:ascii="Arial" w:eastAsia="Arial" w:hAnsi="Arial" w:cs="Arial"/>
                <w:color w:val="333333"/>
                <w:sz w:val="22"/>
                <w:szCs w:val="22"/>
              </w:rPr>
              <w:t>|</w:t>
            </w:r>
            <w:r w:rsidR="0038061A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</w:t>
            </w:r>
            <w:hyperlink r:id="rId6" w:history="1">
              <w:r w:rsidR="0038061A" w:rsidRPr="00741BBF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rachelle@furnellprojects.co.uk</w:t>
              </w:r>
            </w:hyperlink>
            <w:r w:rsidR="0038061A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</w:t>
            </w:r>
            <w:proofErr w:type="gramStart"/>
            <w:r w:rsidR="00220B64">
              <w:rPr>
                <w:rFonts w:ascii="Arial" w:eastAsia="Arial" w:hAnsi="Arial" w:cs="Arial"/>
                <w:color w:val="333333"/>
                <w:sz w:val="22"/>
                <w:szCs w:val="22"/>
              </w:rPr>
              <w:t>|</w:t>
            </w:r>
            <w:r w:rsidR="00220B64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</w:t>
            </w:r>
            <w:r w:rsidR="00220B64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</w:t>
            </w:r>
            <w:r w:rsidR="00220B64">
              <w:rPr>
                <w:rFonts w:ascii="Arial" w:eastAsia="Arial" w:hAnsi="Arial" w:cs="Arial"/>
                <w:color w:val="333333"/>
                <w:sz w:val="22"/>
                <w:szCs w:val="22"/>
              </w:rPr>
              <w:t>linkedin.com</w:t>
            </w:r>
            <w:proofErr w:type="gramEnd"/>
            <w:r w:rsidR="00220B64">
              <w:rPr>
                <w:rFonts w:ascii="Arial" w:eastAsia="Arial" w:hAnsi="Arial" w:cs="Arial"/>
                <w:color w:val="333333"/>
                <w:sz w:val="22"/>
                <w:szCs w:val="22"/>
              </w:rPr>
              <w:t>/in/rachelleawilliams</w:t>
            </w:r>
          </w:p>
        </w:tc>
      </w:tr>
    </w:tbl>
    <w:p w14:paraId="0D816CC1" w14:textId="77777777" w:rsidR="005F1498" w:rsidRDefault="005F1498">
      <w:pPr>
        <w:spacing w:before="60" w:after="20"/>
      </w:pPr>
    </w:p>
    <w:p w14:paraId="0D816CC2" w14:textId="371DE66B" w:rsidR="005F1498" w:rsidRDefault="00220B64">
      <w:pPr>
        <w:spacing w:before="40" w:after="40"/>
        <w:jc w:val="center"/>
      </w:pPr>
      <w:r>
        <w:rPr>
          <w:rFonts w:ascii="Arial" w:eastAsia="Arial" w:hAnsi="Arial" w:cs="Arial"/>
          <w:i/>
          <w:iCs/>
          <w:color w:val="777777"/>
        </w:rPr>
        <w:t xml:space="preserve">Places are limited to 12. Early registration is </w:t>
      </w:r>
      <w:r w:rsidR="00F4788E">
        <w:rPr>
          <w:rFonts w:ascii="Arial" w:eastAsia="Arial" w:hAnsi="Arial" w:cs="Arial"/>
          <w:i/>
          <w:iCs/>
          <w:color w:val="777777"/>
        </w:rPr>
        <w:t>recommended to secure a spot</w:t>
      </w:r>
      <w:r>
        <w:rPr>
          <w:rFonts w:ascii="Arial" w:eastAsia="Arial" w:hAnsi="Arial" w:cs="Arial"/>
          <w:i/>
          <w:iCs/>
          <w:color w:val="777777"/>
        </w:rPr>
        <w:t>.</w:t>
      </w:r>
    </w:p>
    <w:sectPr w:rsidR="005F1498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340E7"/>
    <w:multiLevelType w:val="hybridMultilevel"/>
    <w:tmpl w:val="2F342416"/>
    <w:lvl w:ilvl="0" w:tplc="A8EC0FFA">
      <w:start w:val="1"/>
      <w:numFmt w:val="bullet"/>
      <w:lvlText w:val="●"/>
      <w:lvlJc w:val="left"/>
      <w:pPr>
        <w:ind w:left="720" w:hanging="360"/>
      </w:pPr>
    </w:lvl>
    <w:lvl w:ilvl="1" w:tplc="3AE271C2">
      <w:start w:val="1"/>
      <w:numFmt w:val="bullet"/>
      <w:lvlText w:val="○"/>
      <w:lvlJc w:val="left"/>
      <w:pPr>
        <w:ind w:left="1440" w:hanging="360"/>
      </w:pPr>
    </w:lvl>
    <w:lvl w:ilvl="2" w:tplc="B5BA0E3A">
      <w:start w:val="1"/>
      <w:numFmt w:val="bullet"/>
      <w:lvlText w:val="■"/>
      <w:lvlJc w:val="left"/>
      <w:pPr>
        <w:ind w:left="2160" w:hanging="360"/>
      </w:pPr>
    </w:lvl>
    <w:lvl w:ilvl="3" w:tplc="4CDCE822">
      <w:start w:val="1"/>
      <w:numFmt w:val="bullet"/>
      <w:lvlText w:val="●"/>
      <w:lvlJc w:val="left"/>
      <w:pPr>
        <w:ind w:left="2880" w:hanging="360"/>
      </w:pPr>
    </w:lvl>
    <w:lvl w:ilvl="4" w:tplc="E5B63116">
      <w:start w:val="1"/>
      <w:numFmt w:val="bullet"/>
      <w:lvlText w:val="○"/>
      <w:lvlJc w:val="left"/>
      <w:pPr>
        <w:ind w:left="3600" w:hanging="360"/>
      </w:pPr>
    </w:lvl>
    <w:lvl w:ilvl="5" w:tplc="6FA23428">
      <w:start w:val="1"/>
      <w:numFmt w:val="bullet"/>
      <w:lvlText w:val="■"/>
      <w:lvlJc w:val="left"/>
      <w:pPr>
        <w:ind w:left="4320" w:hanging="360"/>
      </w:pPr>
    </w:lvl>
    <w:lvl w:ilvl="6" w:tplc="45C28820">
      <w:start w:val="1"/>
      <w:numFmt w:val="bullet"/>
      <w:lvlText w:val="●"/>
      <w:lvlJc w:val="left"/>
      <w:pPr>
        <w:ind w:left="5040" w:hanging="360"/>
      </w:pPr>
    </w:lvl>
    <w:lvl w:ilvl="7" w:tplc="B3E4A852">
      <w:start w:val="1"/>
      <w:numFmt w:val="bullet"/>
      <w:lvlText w:val="●"/>
      <w:lvlJc w:val="left"/>
      <w:pPr>
        <w:ind w:left="5760" w:hanging="360"/>
      </w:pPr>
    </w:lvl>
    <w:lvl w:ilvl="8" w:tplc="C48CE8E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7BB1FBD"/>
    <w:multiLevelType w:val="hybridMultilevel"/>
    <w:tmpl w:val="92F2D930"/>
    <w:lvl w:ilvl="0" w:tplc="91E20F3A">
      <w:start w:val="1"/>
      <w:numFmt w:val="bullet"/>
      <w:lvlText w:val="•"/>
      <w:lvlJc w:val="left"/>
      <w:pPr>
        <w:ind w:left="600" w:hanging="300"/>
      </w:pPr>
    </w:lvl>
    <w:lvl w:ilvl="1" w:tplc="73E0EFDA">
      <w:numFmt w:val="decimal"/>
      <w:lvlText w:val=""/>
      <w:lvlJc w:val="left"/>
    </w:lvl>
    <w:lvl w:ilvl="2" w:tplc="15F0D6C8">
      <w:numFmt w:val="decimal"/>
      <w:lvlText w:val=""/>
      <w:lvlJc w:val="left"/>
    </w:lvl>
    <w:lvl w:ilvl="3" w:tplc="3DEAA074">
      <w:numFmt w:val="decimal"/>
      <w:lvlText w:val=""/>
      <w:lvlJc w:val="left"/>
    </w:lvl>
    <w:lvl w:ilvl="4" w:tplc="2C320076">
      <w:numFmt w:val="decimal"/>
      <w:lvlText w:val=""/>
      <w:lvlJc w:val="left"/>
    </w:lvl>
    <w:lvl w:ilvl="5" w:tplc="1B8AC9BC">
      <w:numFmt w:val="decimal"/>
      <w:lvlText w:val=""/>
      <w:lvlJc w:val="left"/>
    </w:lvl>
    <w:lvl w:ilvl="6" w:tplc="ACC6BD4A">
      <w:numFmt w:val="decimal"/>
      <w:lvlText w:val=""/>
      <w:lvlJc w:val="left"/>
    </w:lvl>
    <w:lvl w:ilvl="7" w:tplc="6BF61A98">
      <w:numFmt w:val="decimal"/>
      <w:lvlText w:val=""/>
      <w:lvlJc w:val="left"/>
    </w:lvl>
    <w:lvl w:ilvl="8" w:tplc="7F0A1F7C">
      <w:numFmt w:val="decimal"/>
      <w:lvlText w:val=""/>
      <w:lvlJc w:val="left"/>
    </w:lvl>
  </w:abstractNum>
  <w:num w:numId="1" w16cid:durableId="406079184">
    <w:abstractNumId w:val="0"/>
    <w:lvlOverride w:ilvl="0">
      <w:startOverride w:val="1"/>
    </w:lvlOverride>
  </w:num>
  <w:num w:numId="2" w16cid:durableId="193764017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98"/>
    <w:rsid w:val="000018D2"/>
    <w:rsid w:val="000D4AFC"/>
    <w:rsid w:val="00220B64"/>
    <w:rsid w:val="002B3E80"/>
    <w:rsid w:val="0038061A"/>
    <w:rsid w:val="005F1498"/>
    <w:rsid w:val="00971312"/>
    <w:rsid w:val="00DB0AF6"/>
    <w:rsid w:val="00F24A5F"/>
    <w:rsid w:val="00F4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16C4C"/>
  <w15:docId w15:val="{A8A42EF6-477F-47B7-80DF-3BBCF869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0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helle@furnellprojects.co.uk" TargetMode="External"/><Relationship Id="rId5" Type="http://schemas.openxmlformats.org/officeDocument/2006/relationships/hyperlink" Target="https://www.tickettailor.com/events/tbrwithrachelle/19580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816</Words>
  <Characters>4622</Characters>
  <Application>Microsoft Office Word</Application>
  <DocSecurity>0</DocSecurity>
  <Lines>135</Lines>
  <Paragraphs>81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Rachelle Williams</cp:lastModifiedBy>
  <cp:revision>9</cp:revision>
  <dcterms:created xsi:type="dcterms:W3CDTF">2026-04-08T07:19:00Z</dcterms:created>
  <dcterms:modified xsi:type="dcterms:W3CDTF">2026-04-08T13:07:00Z</dcterms:modified>
</cp:coreProperties>
</file>