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Devenez obsédé par la concurrence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Choisissez 3 prospects et foncez sur le terrain de la concurrence. Posez des questions claires, directes, et collectez un maximum d’informations. Ces réponses vous permettront d’appuyer précisément là où ça compte pour gagner. </w:t>
      </w:r>
    </w:p>
    <w:p w:rsidR="00000000" w:rsidDel="00000000" w:rsidP="00000000" w:rsidRDefault="00000000" w:rsidRPr="00000000" w14:paraId="00000005">
      <w:pPr>
        <w:spacing w:after="240" w:before="240" w:lineRule="auto"/>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Prospect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Liste de questions concurrence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Infos récoltées</w:t>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r>
          </w:p>
        </w:tc>
      </w:tr>
    </w:tbl>
    <w:p w:rsidR="00000000" w:rsidDel="00000000" w:rsidP="00000000" w:rsidRDefault="00000000" w:rsidRPr="00000000" w14:paraId="00000010">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Prospect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Liste de questions concurrence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Infos récoltées</w:t>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r>
          </w:p>
        </w:tc>
      </w:tr>
    </w:tbl>
    <w:p w:rsidR="00000000" w:rsidDel="00000000" w:rsidP="00000000" w:rsidRDefault="00000000" w:rsidRPr="00000000" w14:paraId="0000001B">
      <w:pPr>
        <w:spacing w:after="240" w:before="240" w:lineRule="au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Prospect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Liste de questions concurrence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Infos récoltées</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r>
          </w:p>
        </w:tc>
      </w:tr>
    </w:tbl>
    <w:p w:rsidR="00000000" w:rsidDel="00000000" w:rsidP="00000000" w:rsidRDefault="00000000" w:rsidRPr="00000000" w14:paraId="00000026">
      <w:pPr>
        <w:jc w:val="left"/>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